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E3" w:rsidRDefault="00CC40A0"/>
    <w:p w:rsidR="00CC40A0" w:rsidRDefault="00CC40A0"/>
    <w:p w:rsidR="00CC40A0" w:rsidRDefault="00CC40A0"/>
    <w:p w:rsidR="00CC40A0" w:rsidRDefault="00CC40A0" w:rsidP="00CC40A0">
      <w:pPr>
        <w:pStyle w:val="Standard"/>
        <w:spacing w:line="360" w:lineRule="auto"/>
        <w:jc w:val="both"/>
        <w:rPr>
          <w:sz w:val="28"/>
          <w:szCs w:val="28"/>
        </w:rPr>
      </w:pPr>
      <w:r>
        <w:rPr>
          <w:b/>
          <w:sz w:val="28"/>
          <w:szCs w:val="28"/>
        </w:rPr>
        <w:t>art. 50 TUE</w:t>
      </w:r>
      <w:r>
        <w:rPr>
          <w:sz w:val="28"/>
          <w:szCs w:val="28"/>
        </w:rPr>
        <w:t>: il Trattato di Lisbona enuncia la possibilità da parte di ogni Stato membro di recedere dall’Unione.</w:t>
      </w:r>
      <w:bookmarkStart w:id="0" w:name="_GoBack"/>
      <w:bookmarkEnd w:id="0"/>
    </w:p>
    <w:p w:rsidR="00CC40A0" w:rsidRDefault="00CC40A0" w:rsidP="00CC40A0">
      <w:pPr>
        <w:jc w:val="center"/>
        <w:rPr>
          <w:b/>
          <w:sz w:val="28"/>
          <w:szCs w:val="28"/>
          <w:highlight w:val="green"/>
        </w:rPr>
      </w:pPr>
    </w:p>
    <w:p w:rsidR="00CC40A0" w:rsidRDefault="00CC40A0" w:rsidP="00CC40A0">
      <w:pPr>
        <w:pBdr>
          <w:top w:val="single" w:sz="4" w:space="1" w:color="auto"/>
          <w:left w:val="single" w:sz="4" w:space="4" w:color="auto"/>
          <w:bottom w:val="single" w:sz="4" w:space="1" w:color="auto"/>
          <w:right w:val="single" w:sz="4" w:space="4" w:color="auto"/>
        </w:pBdr>
        <w:autoSpaceDE w:val="0"/>
        <w:autoSpaceDN w:val="0"/>
        <w:adjustRightInd w:val="0"/>
        <w:jc w:val="both"/>
        <w:rPr>
          <w:b/>
          <w:iCs/>
          <w:sz w:val="28"/>
          <w:szCs w:val="28"/>
        </w:rPr>
      </w:pPr>
      <w:r>
        <w:rPr>
          <w:b/>
          <w:iCs/>
          <w:sz w:val="28"/>
          <w:szCs w:val="28"/>
        </w:rPr>
        <w:t>Articolo 50</w:t>
      </w:r>
    </w:p>
    <w:p w:rsidR="00CC40A0" w:rsidRDefault="00CC40A0" w:rsidP="00CC40A0">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r>
        <w:rPr>
          <w:sz w:val="28"/>
          <w:szCs w:val="28"/>
        </w:rPr>
        <w:t xml:space="preserve">1. Ogni Stato membro può decidere, conformemente alle proprie norme costituzionali, di </w:t>
      </w:r>
      <w:r>
        <w:rPr>
          <w:sz w:val="28"/>
          <w:szCs w:val="28"/>
          <w:highlight w:val="yellow"/>
        </w:rPr>
        <w:t>recedere dall'Unione</w:t>
      </w:r>
      <w:r>
        <w:rPr>
          <w:sz w:val="28"/>
          <w:szCs w:val="28"/>
        </w:rPr>
        <w:t>.</w:t>
      </w:r>
    </w:p>
    <w:p w:rsidR="00CC40A0" w:rsidRDefault="00CC40A0" w:rsidP="00CC40A0">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r>
        <w:rPr>
          <w:sz w:val="28"/>
          <w:szCs w:val="28"/>
        </w:rPr>
        <w:t xml:space="preserve">2. </w:t>
      </w:r>
      <w:r>
        <w:rPr>
          <w:sz w:val="28"/>
          <w:szCs w:val="28"/>
          <w:highlight w:val="yellow"/>
        </w:rPr>
        <w:t>Lo Stato membro che decide di recedere notifica tale intenzione al Consiglio europeo</w:t>
      </w:r>
      <w:r>
        <w:rPr>
          <w:sz w:val="28"/>
          <w:szCs w:val="28"/>
        </w:rPr>
        <w:t xml:space="preserve">. Alla luce degli orientamenti formulati dal Consiglio europeo, </w:t>
      </w:r>
      <w:r>
        <w:rPr>
          <w:sz w:val="28"/>
          <w:szCs w:val="28"/>
          <w:highlight w:val="yellow"/>
        </w:rPr>
        <w:t>l'Unione negozia e conclude con tale Stato un accordo</w:t>
      </w:r>
      <w:r>
        <w:rPr>
          <w:sz w:val="28"/>
          <w:szCs w:val="28"/>
        </w:rPr>
        <w:t xml:space="preserve"> volto a definire le </w:t>
      </w:r>
      <w:r>
        <w:rPr>
          <w:sz w:val="28"/>
          <w:szCs w:val="28"/>
          <w:highlight w:val="yellow"/>
        </w:rPr>
        <w:t>modalità del recesso</w:t>
      </w:r>
      <w:r>
        <w:rPr>
          <w:sz w:val="28"/>
          <w:szCs w:val="28"/>
        </w:rPr>
        <w:t xml:space="preserve">, tenendo conto del quadro delle </w:t>
      </w:r>
      <w:r>
        <w:rPr>
          <w:sz w:val="28"/>
          <w:szCs w:val="28"/>
          <w:highlight w:val="yellow"/>
        </w:rPr>
        <w:t>future relazioni con l'Unione</w:t>
      </w:r>
      <w:r>
        <w:rPr>
          <w:sz w:val="28"/>
          <w:szCs w:val="28"/>
        </w:rPr>
        <w:t>. L'accordo è negoziato conformemente all'art. 218, par. 3 del TFUE. Esso è concluso a nome dell'Unione dal Consiglio, che delibera a maggioranza qualificata previa approvazione del Parlamento europeo.</w:t>
      </w:r>
    </w:p>
    <w:p w:rsidR="00CC40A0" w:rsidRDefault="00CC40A0" w:rsidP="00CC40A0">
      <w:pPr>
        <w:pStyle w:val="Rientrocorpodeltesto2"/>
        <w:pBdr>
          <w:top w:val="single" w:sz="4" w:space="1" w:color="auto"/>
          <w:left w:val="single" w:sz="4" w:space="4" w:color="auto"/>
          <w:bottom w:val="single" w:sz="4" w:space="1" w:color="auto"/>
          <w:right w:val="single" w:sz="4" w:space="4" w:color="auto"/>
        </w:pBdr>
        <w:rPr>
          <w:rFonts w:ascii="Times New Roman" w:hAnsi="Times New Roman"/>
          <w:sz w:val="28"/>
          <w:szCs w:val="28"/>
        </w:rPr>
      </w:pPr>
      <w:r>
        <w:rPr>
          <w:rFonts w:ascii="Times New Roman" w:hAnsi="Times New Roman"/>
          <w:sz w:val="28"/>
          <w:szCs w:val="28"/>
        </w:rPr>
        <w:t>3</w:t>
      </w:r>
      <w:r>
        <w:rPr>
          <w:rFonts w:ascii="Times New Roman" w:hAnsi="Times New Roman"/>
          <w:sz w:val="28"/>
          <w:szCs w:val="28"/>
          <w:u w:val="single"/>
        </w:rPr>
        <w:t>. I trattati cessano di essere applicabili allo Stato interessato a decorrere dalla data di entrata in vigore dell'accordo di recesso</w:t>
      </w:r>
      <w:r>
        <w:rPr>
          <w:rFonts w:ascii="Times New Roman" w:hAnsi="Times New Roman"/>
          <w:sz w:val="28"/>
          <w:szCs w:val="28"/>
        </w:rPr>
        <w:t xml:space="preserve"> o, in mancanza di tale accordo, due anni dopo la notifica di cui al par. 2, salvo che il Consiglio europeo, d'intesa con lo Stato membro interessato, decida all'unanimità di prorogare tale termine.</w:t>
      </w:r>
    </w:p>
    <w:p w:rsidR="00CC40A0" w:rsidRDefault="00CC40A0" w:rsidP="00CC40A0">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r>
        <w:rPr>
          <w:sz w:val="28"/>
          <w:szCs w:val="28"/>
        </w:rPr>
        <w:t xml:space="preserve">4. Ai fini dei </w:t>
      </w:r>
      <w:proofErr w:type="spellStart"/>
      <w:r>
        <w:rPr>
          <w:sz w:val="28"/>
          <w:szCs w:val="28"/>
        </w:rPr>
        <w:t>parr</w:t>
      </w:r>
      <w:proofErr w:type="spellEnd"/>
      <w:r>
        <w:rPr>
          <w:sz w:val="28"/>
          <w:szCs w:val="28"/>
        </w:rPr>
        <w:t xml:space="preserve">. 2 e 3, il membro del Consiglio europeo e del Consiglio che rappresenta </w:t>
      </w:r>
      <w:r>
        <w:rPr>
          <w:sz w:val="28"/>
          <w:szCs w:val="28"/>
          <w:highlight w:val="yellow"/>
        </w:rPr>
        <w:t>lo Stato membro che recede non partecipa né alle deliberazioni né alle decisioni del Consiglio europeo e del Consiglio che lo riguardano</w:t>
      </w:r>
      <w:r>
        <w:rPr>
          <w:sz w:val="28"/>
          <w:szCs w:val="28"/>
        </w:rPr>
        <w:t>.</w:t>
      </w:r>
    </w:p>
    <w:p w:rsidR="00CC40A0" w:rsidRDefault="00CC40A0" w:rsidP="00CC40A0">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r>
        <w:rPr>
          <w:sz w:val="28"/>
          <w:szCs w:val="28"/>
        </w:rPr>
        <w:t xml:space="preserve">Per maggioranza qualificata s'intende quella definita conformemente all'art. 238, par. 3, </w:t>
      </w:r>
      <w:proofErr w:type="spellStart"/>
      <w:r>
        <w:rPr>
          <w:sz w:val="28"/>
          <w:szCs w:val="28"/>
        </w:rPr>
        <w:t>lett</w:t>
      </w:r>
      <w:proofErr w:type="spellEnd"/>
      <w:r>
        <w:rPr>
          <w:sz w:val="28"/>
          <w:szCs w:val="28"/>
        </w:rPr>
        <w:t xml:space="preserve">. </w:t>
      </w:r>
      <w:r>
        <w:rPr>
          <w:i/>
          <w:iCs/>
          <w:sz w:val="28"/>
          <w:szCs w:val="28"/>
        </w:rPr>
        <w:t>b</w:t>
      </w:r>
      <w:r>
        <w:rPr>
          <w:sz w:val="28"/>
          <w:szCs w:val="28"/>
        </w:rPr>
        <w:t xml:space="preserve">) del TFUE. </w:t>
      </w:r>
    </w:p>
    <w:p w:rsidR="00CC40A0" w:rsidRPr="00CC40A0" w:rsidRDefault="00CC40A0" w:rsidP="00CC40A0">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u w:val="single"/>
          <w:lang w:val="en-GB"/>
        </w:rPr>
      </w:pPr>
      <w:r>
        <w:rPr>
          <w:sz w:val="28"/>
          <w:szCs w:val="28"/>
        </w:rPr>
        <w:t xml:space="preserve">5. </w:t>
      </w:r>
      <w:r>
        <w:rPr>
          <w:sz w:val="28"/>
          <w:szCs w:val="28"/>
          <w:u w:val="single"/>
        </w:rPr>
        <w:t xml:space="preserve">Se lo Stato che ha receduto dall'Unione chiede di aderirvi nuovamente, tale richiesta è oggetto della procedura di cui all'art. </w:t>
      </w:r>
      <w:r w:rsidRPr="00CC40A0">
        <w:rPr>
          <w:sz w:val="28"/>
          <w:szCs w:val="28"/>
          <w:u w:val="single"/>
          <w:lang w:val="en-GB"/>
        </w:rPr>
        <w:t>49.</w:t>
      </w:r>
    </w:p>
    <w:p w:rsidR="00CC40A0" w:rsidRPr="00CC40A0" w:rsidRDefault="00CC40A0" w:rsidP="00CC40A0">
      <w:pPr>
        <w:rPr>
          <w:sz w:val="28"/>
          <w:szCs w:val="28"/>
          <w:lang w:val="en-GB"/>
        </w:rPr>
      </w:pPr>
    </w:p>
    <w:p w:rsidR="00CC40A0" w:rsidRDefault="00CC40A0" w:rsidP="00CC40A0">
      <w:pPr>
        <w:rPr>
          <w:sz w:val="28"/>
          <w:szCs w:val="28"/>
          <w:lang w:val="en-GB"/>
        </w:rPr>
      </w:pPr>
      <w:proofErr w:type="gramStart"/>
      <w:r>
        <w:rPr>
          <w:sz w:val="28"/>
          <w:szCs w:val="28"/>
          <w:lang w:val="en-GB"/>
        </w:rPr>
        <w:t xml:space="preserve">23 </w:t>
      </w:r>
      <w:proofErr w:type="spellStart"/>
      <w:r>
        <w:rPr>
          <w:sz w:val="28"/>
          <w:szCs w:val="28"/>
          <w:lang w:val="en-GB"/>
        </w:rPr>
        <w:t>giugno</w:t>
      </w:r>
      <w:proofErr w:type="spellEnd"/>
      <w:proofErr w:type="gramEnd"/>
      <w:r>
        <w:rPr>
          <w:sz w:val="28"/>
          <w:szCs w:val="28"/>
          <w:lang w:val="en-GB"/>
        </w:rPr>
        <w:t xml:space="preserve"> 2016 referendum: </w:t>
      </w:r>
      <w:r>
        <w:rPr>
          <w:rStyle w:val="st1"/>
          <w:rFonts w:ascii="Arial" w:hAnsi="Arial" w:cs="Arial"/>
          <w:color w:val="545454"/>
          <w:lang w:val="en-GB"/>
        </w:rPr>
        <w:t xml:space="preserve">The </w:t>
      </w:r>
      <w:r>
        <w:rPr>
          <w:rStyle w:val="Enfasicorsivo"/>
          <w:rFonts w:ascii="Arial" w:hAnsi="Arial" w:cs="Arial"/>
          <w:color w:val="545454"/>
          <w:lang w:val="en-GB"/>
        </w:rPr>
        <w:t>UK</w:t>
      </w:r>
      <w:r>
        <w:rPr>
          <w:rStyle w:val="st1"/>
          <w:rFonts w:ascii="Arial" w:hAnsi="Arial" w:cs="Arial"/>
          <w:color w:val="545454"/>
          <w:lang w:val="en-GB"/>
        </w:rPr>
        <w:t xml:space="preserve"> has voted to leave the </w:t>
      </w:r>
      <w:r>
        <w:rPr>
          <w:rStyle w:val="Enfasicorsivo"/>
          <w:rFonts w:ascii="Arial" w:hAnsi="Arial" w:cs="Arial"/>
          <w:color w:val="545454"/>
          <w:lang w:val="en-GB"/>
        </w:rPr>
        <w:t>EU</w:t>
      </w:r>
      <w:r>
        <w:rPr>
          <w:rStyle w:val="st1"/>
          <w:rFonts w:ascii="Arial" w:hAnsi="Arial" w:cs="Arial"/>
          <w:color w:val="545454"/>
          <w:lang w:val="en-GB"/>
        </w:rPr>
        <w:t xml:space="preserve"> by 52% to 48%.</w:t>
      </w:r>
    </w:p>
    <w:p w:rsidR="00CC40A0" w:rsidRDefault="00CC40A0" w:rsidP="00CC40A0">
      <w:pPr>
        <w:rPr>
          <w:sz w:val="28"/>
          <w:szCs w:val="28"/>
          <w:lang w:val="en-GB"/>
        </w:rPr>
      </w:pPr>
    </w:p>
    <w:p w:rsidR="00CC40A0" w:rsidRDefault="00CC40A0" w:rsidP="00CC40A0">
      <w:pPr>
        <w:rPr>
          <w:sz w:val="28"/>
          <w:szCs w:val="28"/>
        </w:rPr>
      </w:pPr>
      <w:r>
        <w:rPr>
          <w:sz w:val="28"/>
          <w:szCs w:val="28"/>
        </w:rPr>
        <w:t xml:space="preserve">Il 29 marzo 2017 il Regno Unito ha notificato all’UE la sua intenzione di lasciare l’Unione in base all’art. 50. </w:t>
      </w:r>
    </w:p>
    <w:p w:rsidR="00CC40A0" w:rsidRDefault="00CC40A0" w:rsidP="00CC40A0">
      <w:pPr>
        <w:rPr>
          <w:sz w:val="28"/>
          <w:szCs w:val="28"/>
        </w:rPr>
      </w:pPr>
      <w:r>
        <w:rPr>
          <w:sz w:val="28"/>
          <w:szCs w:val="28"/>
        </w:rPr>
        <w:t xml:space="preserve">Il Consiglio europeo, nella stessa data, ha adottato delle linee guida che definiscono il quadro delle negoziazioni e ha stabilito i principi della posizione dell’Unione, designando Michel </w:t>
      </w:r>
      <w:proofErr w:type="spellStart"/>
      <w:r>
        <w:rPr>
          <w:sz w:val="28"/>
          <w:szCs w:val="28"/>
        </w:rPr>
        <w:t>Barnier</w:t>
      </w:r>
      <w:proofErr w:type="spellEnd"/>
      <w:r>
        <w:rPr>
          <w:sz w:val="28"/>
          <w:szCs w:val="28"/>
        </w:rPr>
        <w:t xml:space="preserve"> come capo negoziatore dei 27 Stati membri.</w:t>
      </w:r>
    </w:p>
    <w:p w:rsidR="00CC40A0" w:rsidRDefault="00CC40A0" w:rsidP="00CC40A0">
      <w:pPr>
        <w:rPr>
          <w:sz w:val="28"/>
          <w:szCs w:val="28"/>
        </w:rPr>
      </w:pPr>
    </w:p>
    <w:p w:rsidR="00CC40A0" w:rsidRDefault="00CC40A0" w:rsidP="00CC40A0">
      <w:pPr>
        <w:rPr>
          <w:sz w:val="28"/>
          <w:szCs w:val="28"/>
        </w:rPr>
      </w:pPr>
      <w:r>
        <w:rPr>
          <w:sz w:val="28"/>
          <w:szCs w:val="28"/>
        </w:rPr>
        <w:t xml:space="preserve">Questioni problematiche: </w:t>
      </w:r>
    </w:p>
    <w:p w:rsidR="00CC40A0" w:rsidRDefault="00CC40A0" w:rsidP="00CC40A0">
      <w:pPr>
        <w:rPr>
          <w:sz w:val="28"/>
          <w:szCs w:val="28"/>
        </w:rPr>
      </w:pPr>
    </w:p>
    <w:p w:rsidR="00CC40A0" w:rsidRDefault="00CC40A0" w:rsidP="00CC40A0">
      <w:pPr>
        <w:pStyle w:val="Paragrafoelenco"/>
        <w:numPr>
          <w:ilvl w:val="0"/>
          <w:numId w:val="1"/>
        </w:numPr>
        <w:rPr>
          <w:rFonts w:ascii="sole_text" w:hAnsi="sole_text" w:cs="Arial"/>
          <w:color w:val="1A171B"/>
          <w:sz w:val="27"/>
          <w:szCs w:val="27"/>
        </w:rPr>
      </w:pPr>
      <w:proofErr w:type="gramStart"/>
      <w:r>
        <w:rPr>
          <w:rFonts w:ascii="sole_text" w:hAnsi="sole_text" w:cs="Arial"/>
          <w:color w:val="1A171B"/>
          <w:sz w:val="27"/>
          <w:szCs w:val="27"/>
        </w:rPr>
        <w:t>il</w:t>
      </w:r>
      <w:proofErr w:type="gramEnd"/>
      <w:r>
        <w:rPr>
          <w:rFonts w:ascii="sole_text" w:hAnsi="sole_text" w:cs="Arial"/>
          <w:color w:val="1A171B"/>
          <w:sz w:val="27"/>
          <w:szCs w:val="27"/>
        </w:rPr>
        <w:t xml:space="preserve"> commercio.</w:t>
      </w:r>
    </w:p>
    <w:p w:rsidR="00CC40A0" w:rsidRDefault="00CC40A0" w:rsidP="00CC40A0">
      <w:pPr>
        <w:pStyle w:val="Paragrafoelenco"/>
        <w:rPr>
          <w:rFonts w:ascii="sole_text" w:hAnsi="sole_text" w:cs="Arial"/>
          <w:color w:val="1A171B"/>
          <w:sz w:val="27"/>
          <w:szCs w:val="27"/>
        </w:rPr>
      </w:pPr>
    </w:p>
    <w:p w:rsidR="00CC40A0" w:rsidRDefault="00CC40A0" w:rsidP="00CC40A0">
      <w:pPr>
        <w:pStyle w:val="Paragrafoelenco"/>
        <w:numPr>
          <w:ilvl w:val="0"/>
          <w:numId w:val="1"/>
        </w:numPr>
        <w:rPr>
          <w:rFonts w:ascii="sole_text" w:hAnsi="sole_text" w:cs="Arial"/>
          <w:color w:val="1A171B"/>
          <w:sz w:val="27"/>
          <w:szCs w:val="27"/>
        </w:rPr>
      </w:pPr>
      <w:r>
        <w:rPr>
          <w:rFonts w:ascii="sole_text" w:hAnsi="sole_text" w:cs="Arial"/>
          <w:color w:val="1A171B"/>
          <w:sz w:val="27"/>
          <w:szCs w:val="27"/>
        </w:rPr>
        <w:t>Banche e società che si trasferiscono in altri Stati membri (</w:t>
      </w:r>
      <w:hyperlink r:id="rId5" w:history="1">
        <w:proofErr w:type="gramStart"/>
        <w:r>
          <w:rPr>
            <w:rStyle w:val="Collegamentoipertestuale"/>
            <w:rFonts w:ascii="sole_text" w:hAnsi="sole_text" w:cs="Arial"/>
            <w:sz w:val="16"/>
            <w:szCs w:val="16"/>
          </w:rPr>
          <w:t>https://www.ilsole24ore.com/art/mondo/2018-03-15/e-brexodus-ecco-dove-vanno-aziende-e-banche-fuga-regno-unito-161646.shtml?uuid=AEYmGcHE</w:t>
        </w:r>
      </w:hyperlink>
      <w:r>
        <w:rPr>
          <w:rFonts w:ascii="sole_text" w:hAnsi="sole_text" w:cs="Arial"/>
          <w:color w:val="1A171B"/>
          <w:sz w:val="16"/>
          <w:szCs w:val="16"/>
        </w:rPr>
        <w:t xml:space="preserve"> )</w:t>
      </w:r>
      <w:proofErr w:type="gramEnd"/>
    </w:p>
    <w:p w:rsidR="00CC40A0" w:rsidRDefault="00CC40A0" w:rsidP="00CC40A0">
      <w:pPr>
        <w:pStyle w:val="Paragrafoelenco"/>
        <w:rPr>
          <w:rFonts w:ascii="sole_text" w:hAnsi="sole_text" w:cs="Arial"/>
          <w:color w:val="1A171B"/>
          <w:sz w:val="16"/>
          <w:szCs w:val="16"/>
        </w:rPr>
      </w:pPr>
    </w:p>
    <w:p w:rsidR="00CC40A0" w:rsidRDefault="00CC40A0" w:rsidP="00CC40A0">
      <w:pPr>
        <w:pStyle w:val="Paragrafoelenco"/>
        <w:rPr>
          <w:rFonts w:ascii="sole_text" w:hAnsi="sole_text" w:cs="Arial"/>
          <w:color w:val="1A171B"/>
          <w:sz w:val="16"/>
          <w:szCs w:val="16"/>
        </w:rPr>
      </w:pPr>
    </w:p>
    <w:p w:rsidR="00CC40A0" w:rsidRDefault="00CC40A0" w:rsidP="00CC40A0">
      <w:pPr>
        <w:pStyle w:val="Paragrafoelenco"/>
        <w:numPr>
          <w:ilvl w:val="0"/>
          <w:numId w:val="1"/>
        </w:numPr>
        <w:rPr>
          <w:sz w:val="28"/>
          <w:szCs w:val="28"/>
        </w:rPr>
      </w:pPr>
      <w:proofErr w:type="gramStart"/>
      <w:r>
        <w:rPr>
          <w:rFonts w:ascii="sole_text" w:hAnsi="sole_text" w:cs="Arial"/>
          <w:color w:val="1A171B"/>
          <w:sz w:val="27"/>
          <w:szCs w:val="27"/>
        </w:rPr>
        <w:t>i</w:t>
      </w:r>
      <w:proofErr w:type="gramEnd"/>
      <w:r>
        <w:rPr>
          <w:rFonts w:ascii="sole_text" w:hAnsi="sole_text" w:cs="Arial"/>
          <w:color w:val="1A171B"/>
          <w:sz w:val="27"/>
          <w:szCs w:val="27"/>
        </w:rPr>
        <w:t xml:space="preserve"> trasporti</w:t>
      </w:r>
      <w:r>
        <w:rPr>
          <w:rFonts w:ascii="sole_text" w:hAnsi="sole_text" w:cs="Arial"/>
          <w:color w:val="1A171B"/>
          <w:sz w:val="27"/>
          <w:szCs w:val="27"/>
        </w:rPr>
        <w:t xml:space="preserve"> e i</w:t>
      </w:r>
      <w:r>
        <w:rPr>
          <w:rFonts w:ascii="sole_text" w:hAnsi="sole_text" w:cs="Arial"/>
          <w:color w:val="1A171B"/>
          <w:sz w:val="27"/>
          <w:szCs w:val="27"/>
        </w:rPr>
        <w:t xml:space="preserve"> ritardi significativi</w:t>
      </w:r>
      <w:r>
        <w:rPr>
          <w:rFonts w:ascii="sole_text" w:hAnsi="sole_text" w:cs="Arial"/>
          <w:color w:val="1A171B"/>
          <w:sz w:val="27"/>
          <w:szCs w:val="27"/>
        </w:rPr>
        <w:t xml:space="preserve"> nei controlli doganali.</w:t>
      </w:r>
    </w:p>
    <w:p w:rsidR="00CC40A0" w:rsidRDefault="00CC40A0" w:rsidP="00CC40A0">
      <w:pPr>
        <w:pStyle w:val="Paragrafoelenco"/>
        <w:rPr>
          <w:sz w:val="28"/>
          <w:szCs w:val="28"/>
        </w:rPr>
      </w:pPr>
    </w:p>
    <w:p w:rsidR="00CC40A0" w:rsidRDefault="00CC40A0" w:rsidP="00CC40A0">
      <w:pPr>
        <w:pStyle w:val="Paragrafoelenco"/>
        <w:numPr>
          <w:ilvl w:val="0"/>
          <w:numId w:val="1"/>
        </w:numPr>
        <w:rPr>
          <w:sz w:val="28"/>
          <w:szCs w:val="28"/>
        </w:rPr>
      </w:pPr>
      <w:proofErr w:type="gramStart"/>
      <w:r>
        <w:rPr>
          <w:rFonts w:ascii="sole_text" w:hAnsi="sole_text" w:cs="Arial"/>
          <w:color w:val="1A171B"/>
          <w:sz w:val="27"/>
          <w:szCs w:val="27"/>
        </w:rPr>
        <w:t>circolazione</w:t>
      </w:r>
      <w:proofErr w:type="gramEnd"/>
      <w:r>
        <w:rPr>
          <w:rFonts w:ascii="sole_text" w:hAnsi="sole_text" w:cs="Arial"/>
          <w:color w:val="1A171B"/>
          <w:sz w:val="27"/>
          <w:szCs w:val="27"/>
        </w:rPr>
        <w:t xml:space="preserve"> dei cittadini, inclusi i professionisti qualificati</w:t>
      </w:r>
      <w:r>
        <w:rPr>
          <w:rFonts w:ascii="sole_text" w:hAnsi="sole_text" w:cs="Arial"/>
          <w:color w:val="1A171B"/>
          <w:sz w:val="27"/>
          <w:szCs w:val="27"/>
        </w:rPr>
        <w:t xml:space="preserve"> (conseguenze sia per le persone sia per le imprese britanniche)</w:t>
      </w:r>
      <w:r>
        <w:rPr>
          <w:rFonts w:ascii="sole_text" w:hAnsi="sole_text" w:cs="Arial"/>
          <w:color w:val="1A171B"/>
          <w:sz w:val="27"/>
          <w:szCs w:val="27"/>
        </w:rPr>
        <w:t>.</w:t>
      </w:r>
    </w:p>
    <w:p w:rsidR="00CC40A0" w:rsidRDefault="00CC40A0" w:rsidP="00CC40A0">
      <w:pPr>
        <w:pStyle w:val="Paragrafoelenco"/>
        <w:rPr>
          <w:sz w:val="28"/>
          <w:szCs w:val="28"/>
        </w:rPr>
      </w:pPr>
    </w:p>
    <w:p w:rsidR="00CC40A0" w:rsidRDefault="00CC40A0" w:rsidP="00CC40A0">
      <w:pPr>
        <w:pStyle w:val="Paragrafoelenco"/>
        <w:numPr>
          <w:ilvl w:val="0"/>
          <w:numId w:val="1"/>
        </w:numPr>
        <w:rPr>
          <w:sz w:val="28"/>
          <w:szCs w:val="28"/>
        </w:rPr>
      </w:pPr>
      <w:proofErr w:type="gramStart"/>
      <w:r>
        <w:rPr>
          <w:rFonts w:ascii="sole_text" w:hAnsi="sole_text" w:cs="Arial"/>
          <w:color w:val="1A171B"/>
          <w:sz w:val="27"/>
          <w:szCs w:val="27"/>
        </w:rPr>
        <w:t>nel</w:t>
      </w:r>
      <w:proofErr w:type="gramEnd"/>
      <w:r>
        <w:rPr>
          <w:rFonts w:ascii="sole_text" w:hAnsi="sole_text" w:cs="Arial"/>
          <w:color w:val="1A171B"/>
          <w:sz w:val="27"/>
          <w:szCs w:val="27"/>
        </w:rPr>
        <w:t xml:space="preserve"> periodo 2014-2020 il Regno Unito è risultato destinatario di fondi Ue </w:t>
      </w:r>
      <w:r>
        <w:rPr>
          <w:rFonts w:ascii="sole_text" w:hAnsi="sole_text" w:cs="Arial"/>
          <w:color w:val="1A171B"/>
          <w:sz w:val="27"/>
          <w:szCs w:val="27"/>
        </w:rPr>
        <w:t>che i</w:t>
      </w:r>
      <w:r>
        <w:rPr>
          <w:rFonts w:ascii="sole_text" w:hAnsi="sole_text" w:cs="Arial"/>
          <w:color w:val="1A171B"/>
          <w:sz w:val="27"/>
          <w:szCs w:val="27"/>
        </w:rPr>
        <w:t xml:space="preserve">n caso di </w:t>
      </w:r>
      <w:proofErr w:type="spellStart"/>
      <w:r>
        <w:rPr>
          <w:rFonts w:ascii="sole_text" w:hAnsi="sole_text" w:cs="Arial"/>
          <w:color w:val="1A171B"/>
          <w:sz w:val="27"/>
          <w:szCs w:val="27"/>
        </w:rPr>
        <w:t>Brexit</w:t>
      </w:r>
      <w:proofErr w:type="spellEnd"/>
      <w:r>
        <w:rPr>
          <w:rFonts w:ascii="sole_text" w:hAnsi="sole_text" w:cs="Arial"/>
          <w:color w:val="1A171B"/>
          <w:sz w:val="27"/>
          <w:szCs w:val="27"/>
        </w:rPr>
        <w:t xml:space="preserve"> senza accordi </w:t>
      </w:r>
      <w:r>
        <w:rPr>
          <w:rFonts w:ascii="sole_text" w:hAnsi="sole_text" w:cs="Arial"/>
          <w:color w:val="1A171B"/>
          <w:sz w:val="27"/>
          <w:szCs w:val="27"/>
        </w:rPr>
        <w:t xml:space="preserve">non </w:t>
      </w:r>
      <w:r>
        <w:rPr>
          <w:rFonts w:ascii="sole_text" w:hAnsi="sole_text" w:cs="Arial"/>
          <w:color w:val="1A171B"/>
          <w:sz w:val="27"/>
          <w:szCs w:val="27"/>
        </w:rPr>
        <w:t>potrebbe mantenere dopo la data del recesso</w:t>
      </w:r>
      <w:r>
        <w:rPr>
          <w:rFonts w:ascii="sole_text" w:hAnsi="sole_text" w:cs="Arial"/>
          <w:color w:val="1A171B"/>
          <w:sz w:val="27"/>
          <w:szCs w:val="27"/>
        </w:rPr>
        <w:t>.</w:t>
      </w:r>
    </w:p>
    <w:p w:rsidR="00CC40A0" w:rsidRDefault="00CC40A0" w:rsidP="00CC40A0">
      <w:pPr>
        <w:rPr>
          <w:sz w:val="28"/>
          <w:szCs w:val="28"/>
        </w:rPr>
      </w:pPr>
    </w:p>
    <w:p w:rsidR="00CC40A0" w:rsidRDefault="00CC40A0" w:rsidP="00CC40A0">
      <w:pPr>
        <w:rPr>
          <w:sz w:val="28"/>
          <w:szCs w:val="28"/>
        </w:rPr>
      </w:pPr>
      <w:hyperlink r:id="rId6" w:history="1">
        <w:r>
          <w:rPr>
            <w:rStyle w:val="Collegamentoipertestuale"/>
            <w:sz w:val="28"/>
            <w:szCs w:val="28"/>
          </w:rPr>
          <w:t>https://www.consilium.europa.eu/it/policies/eu-uk-after-referendum/</w:t>
        </w:r>
      </w:hyperlink>
    </w:p>
    <w:p w:rsidR="00CC40A0" w:rsidRDefault="00CC40A0"/>
    <w:sectPr w:rsidR="00CC40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Regu">
    <w:altName w:val="Arial Unicode MS"/>
    <w:panose1 w:val="00000000000000000000"/>
    <w:charset w:val="81"/>
    <w:family w:val="roman"/>
    <w:notTrueType/>
    <w:pitch w:val="default"/>
    <w:sig w:usb0="00000003" w:usb1="09060000" w:usb2="00000010" w:usb3="00000000" w:csb0="00080001" w:csb1="00000000"/>
  </w:font>
  <w:font w:name="Arial">
    <w:panose1 w:val="020B0604020202020204"/>
    <w:charset w:val="00"/>
    <w:family w:val="swiss"/>
    <w:pitch w:val="variable"/>
    <w:sig w:usb0="E0002AFF" w:usb1="C0007843" w:usb2="00000009" w:usb3="00000000" w:csb0="000001FF" w:csb1="00000000"/>
  </w:font>
  <w:font w:name="sole_tex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B0BC3"/>
    <w:multiLevelType w:val="hybridMultilevel"/>
    <w:tmpl w:val="32402946"/>
    <w:lvl w:ilvl="0" w:tplc="C8FCDEFE">
      <w:start w:val="1"/>
      <w:numFmt w:val="decimal"/>
      <w:lvlText w:val="%1."/>
      <w:lvlJc w:val="left"/>
      <w:pPr>
        <w:ind w:left="720" w:hanging="360"/>
      </w:pPr>
      <w:rPr>
        <w:rFonts w:ascii="Times New Roman" w:hAnsi="Times New Roman" w:cs="Times New Roman" w:hint="default"/>
        <w:color w:val="auto"/>
        <w:sz w:val="2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A0"/>
    <w:rsid w:val="001B32D3"/>
    <w:rsid w:val="005C435F"/>
    <w:rsid w:val="00CC4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FB298-BAED-41B9-A1C4-EE30E915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40A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C40A0"/>
    <w:rPr>
      <w:color w:val="0563C1" w:themeColor="hyperlink"/>
      <w:u w:val="single"/>
    </w:rPr>
  </w:style>
  <w:style w:type="character" w:styleId="Enfasicorsivo">
    <w:name w:val="Emphasis"/>
    <w:basedOn w:val="Carpredefinitoparagrafo"/>
    <w:uiPriority w:val="20"/>
    <w:qFormat/>
    <w:rsid w:val="00CC40A0"/>
    <w:rPr>
      <w:b/>
      <w:bCs/>
      <w:i w:val="0"/>
      <w:iCs w:val="0"/>
    </w:rPr>
  </w:style>
  <w:style w:type="paragraph" w:styleId="Rientrocorpodeltesto2">
    <w:name w:val="Body Text Indent 2"/>
    <w:basedOn w:val="Normale"/>
    <w:link w:val="Rientrocorpodeltesto2Carattere"/>
    <w:semiHidden/>
    <w:unhideWhenUsed/>
    <w:rsid w:val="00CC40A0"/>
    <w:pPr>
      <w:autoSpaceDE w:val="0"/>
      <w:autoSpaceDN w:val="0"/>
      <w:adjustRightInd w:val="0"/>
      <w:ind w:firstLine="708"/>
      <w:jc w:val="both"/>
    </w:pPr>
    <w:rPr>
      <w:rFonts w:ascii="EUAlbertina-Regu" w:hAnsi="EUAlbertina-Regu"/>
      <w:sz w:val="25"/>
      <w:szCs w:val="25"/>
      <w:lang w:val="x-none" w:eastAsia="x-none"/>
    </w:rPr>
  </w:style>
  <w:style w:type="character" w:customStyle="1" w:styleId="Rientrocorpodeltesto2Carattere">
    <w:name w:val="Rientro corpo del testo 2 Carattere"/>
    <w:basedOn w:val="Carpredefinitoparagrafo"/>
    <w:link w:val="Rientrocorpodeltesto2"/>
    <w:semiHidden/>
    <w:rsid w:val="00CC40A0"/>
    <w:rPr>
      <w:rFonts w:ascii="EUAlbertina-Regu" w:eastAsia="Times New Roman" w:hAnsi="EUAlbertina-Regu" w:cs="Times New Roman"/>
      <w:sz w:val="25"/>
      <w:szCs w:val="25"/>
      <w:lang w:val="x-none" w:eastAsia="x-none"/>
    </w:rPr>
  </w:style>
  <w:style w:type="paragraph" w:styleId="Paragrafoelenco">
    <w:name w:val="List Paragraph"/>
    <w:basedOn w:val="Normale"/>
    <w:uiPriority w:val="34"/>
    <w:qFormat/>
    <w:rsid w:val="00CC40A0"/>
    <w:pPr>
      <w:ind w:left="720"/>
      <w:contextualSpacing/>
    </w:pPr>
  </w:style>
  <w:style w:type="paragraph" w:customStyle="1" w:styleId="Standard">
    <w:name w:val="Standard"/>
    <w:rsid w:val="00CC40A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st1">
    <w:name w:val="st1"/>
    <w:basedOn w:val="Carpredefinitoparagrafo"/>
    <w:rsid w:val="00C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6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ilium.europa.eu/it/policies/eu-uk-after-referendum/" TargetMode="External"/><Relationship Id="rId5" Type="http://schemas.openxmlformats.org/officeDocument/2006/relationships/hyperlink" Target="https://www.ilsole24ore.com/art/mondo/2018-03-15/e-brexodus-ecco-dove-vanno-aziende-e-banche-fuga-regno-unito-161646.shtml?uuid=AEYmGcH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adinolfi</dc:creator>
  <cp:keywords/>
  <dc:description/>
  <cp:lastModifiedBy>adinolfi</cp:lastModifiedBy>
  <cp:revision>1</cp:revision>
  <dcterms:created xsi:type="dcterms:W3CDTF">2018-10-18T17:45:00Z</dcterms:created>
  <dcterms:modified xsi:type="dcterms:W3CDTF">2018-10-18T17:52:00Z</dcterms:modified>
</cp:coreProperties>
</file>