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C99" w:rsidRPr="00A774A0" w:rsidRDefault="00EC1C99" w:rsidP="00EC1C99">
      <w:pPr>
        <w:autoSpaceDE w:val="0"/>
        <w:autoSpaceDN w:val="0"/>
        <w:adjustRightInd w:val="0"/>
        <w:ind w:firstLine="180"/>
        <w:jc w:val="both"/>
        <w:rPr>
          <w:b/>
          <w:sz w:val="28"/>
          <w:szCs w:val="28"/>
        </w:rPr>
      </w:pPr>
    </w:p>
    <w:p w:rsidR="00EC1C99" w:rsidRDefault="00EC1C99" w:rsidP="00EC1C99">
      <w:pPr>
        <w:autoSpaceDE w:val="0"/>
        <w:autoSpaceDN w:val="0"/>
        <w:adjustRightInd w:val="0"/>
        <w:rPr>
          <w:iCs/>
          <w:sz w:val="28"/>
          <w:szCs w:val="28"/>
        </w:rPr>
      </w:pPr>
      <w:r>
        <w:rPr>
          <w:iCs/>
          <w:sz w:val="28"/>
          <w:szCs w:val="28"/>
        </w:rPr>
        <w:t xml:space="preserve">                                 </w:t>
      </w:r>
      <w:r w:rsidRPr="00A0437C">
        <w:rPr>
          <w:noProof/>
          <w:sz w:val="28"/>
          <w:szCs w:val="28"/>
        </w:rPr>
        <w:drawing>
          <wp:inline distT="0" distB="0" distL="0" distR="0">
            <wp:extent cx="1506855" cy="848360"/>
            <wp:effectExtent l="0" t="0" r="0" b="8890"/>
            <wp:docPr id="1" name="Immagine 1" descr="logo_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855" cy="848360"/>
                    </a:xfrm>
                    <a:prstGeom prst="rect">
                      <a:avLst/>
                    </a:prstGeom>
                    <a:noFill/>
                    <a:ln>
                      <a:noFill/>
                    </a:ln>
                  </pic:spPr>
                </pic:pic>
              </a:graphicData>
            </a:graphic>
          </wp:inline>
        </w:drawing>
      </w:r>
      <w:bookmarkStart w:id="0" w:name="_GoBack"/>
      <w:bookmarkEnd w:id="0"/>
    </w:p>
    <w:p w:rsidR="00EC1C99" w:rsidRDefault="00EC1C99" w:rsidP="00EC1C99">
      <w:pPr>
        <w:autoSpaceDE w:val="0"/>
        <w:autoSpaceDN w:val="0"/>
        <w:adjustRightInd w:val="0"/>
        <w:rPr>
          <w:iCs/>
          <w:sz w:val="28"/>
          <w:szCs w:val="28"/>
          <w:highlight w:val="green"/>
        </w:rPr>
      </w:pPr>
    </w:p>
    <w:p w:rsidR="00EC1C99"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center"/>
        <w:rPr>
          <w:b/>
          <w:iCs/>
          <w:sz w:val="28"/>
          <w:szCs w:val="28"/>
          <w:highlight w:val="green"/>
        </w:rPr>
      </w:pPr>
    </w:p>
    <w:p w:rsidR="00EC1C99"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center"/>
        <w:rPr>
          <w:b/>
          <w:iCs/>
          <w:sz w:val="28"/>
          <w:szCs w:val="28"/>
          <w:highlight w:val="green"/>
        </w:rPr>
      </w:pPr>
      <w:r w:rsidRPr="00A774A0">
        <w:rPr>
          <w:b/>
          <w:iCs/>
          <w:sz w:val="28"/>
          <w:szCs w:val="28"/>
          <w:highlight w:val="green"/>
        </w:rPr>
        <w:t>COMMISSIONE</w:t>
      </w:r>
    </w:p>
    <w:p w:rsidR="00EC1C99" w:rsidRPr="00A774A0"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center"/>
        <w:rPr>
          <w:b/>
          <w:iCs/>
          <w:sz w:val="28"/>
          <w:szCs w:val="28"/>
          <w:highlight w:val="green"/>
        </w:rPr>
      </w:pPr>
    </w:p>
    <w:p w:rsidR="00EC1C99" w:rsidRPr="008D59B7" w:rsidRDefault="00EC1C99" w:rsidP="00EC1C99">
      <w:pPr>
        <w:autoSpaceDE w:val="0"/>
        <w:autoSpaceDN w:val="0"/>
        <w:adjustRightInd w:val="0"/>
        <w:ind w:firstLine="180"/>
        <w:rPr>
          <w:iCs/>
          <w:sz w:val="28"/>
          <w:szCs w:val="28"/>
          <w:highlight w:val="green"/>
        </w:rPr>
      </w:pPr>
    </w:p>
    <w:p w:rsidR="00EC1C99" w:rsidRPr="009A277E" w:rsidRDefault="00EC1C99" w:rsidP="00EC1C99">
      <w:pPr>
        <w:numPr>
          <w:ilvl w:val="0"/>
          <w:numId w:val="1"/>
        </w:numPr>
        <w:autoSpaceDE w:val="0"/>
        <w:autoSpaceDN w:val="0"/>
        <w:adjustRightInd w:val="0"/>
        <w:ind w:left="0"/>
        <w:rPr>
          <w:b/>
          <w:iCs/>
          <w:color w:val="FF0000"/>
          <w:sz w:val="28"/>
          <w:szCs w:val="28"/>
        </w:rPr>
      </w:pPr>
      <w:r w:rsidRPr="009A277E">
        <w:rPr>
          <w:b/>
          <w:iCs/>
          <w:color w:val="FF0000"/>
          <w:sz w:val="28"/>
          <w:szCs w:val="28"/>
        </w:rPr>
        <w:t>COMPOSIZIONE</w:t>
      </w:r>
    </w:p>
    <w:p w:rsidR="00EC1C99" w:rsidRPr="008D59B7" w:rsidRDefault="00EC1C99" w:rsidP="00EC1C99">
      <w:pPr>
        <w:pStyle w:val="Titolo3"/>
        <w:pBdr>
          <w:top w:val="double" w:sz="4" w:space="1" w:color="auto"/>
          <w:left w:val="double" w:sz="4" w:space="4" w:color="auto"/>
          <w:bottom w:val="double" w:sz="4" w:space="1" w:color="auto"/>
          <w:right w:val="double" w:sz="4" w:space="4" w:color="auto"/>
        </w:pBdr>
        <w:spacing w:before="0" w:after="0"/>
        <w:jc w:val="both"/>
        <w:rPr>
          <w:rFonts w:ascii="Times New Roman" w:hAnsi="Times New Roman"/>
          <w:sz w:val="28"/>
          <w:szCs w:val="28"/>
        </w:rPr>
      </w:pPr>
      <w:r>
        <w:rPr>
          <w:rFonts w:ascii="Times New Roman" w:hAnsi="Times New Roman"/>
          <w:sz w:val="28"/>
          <w:szCs w:val="28"/>
          <w:lang w:val="it-IT"/>
        </w:rPr>
        <w:t xml:space="preserve">TUE, </w:t>
      </w:r>
      <w:r w:rsidRPr="008D59B7">
        <w:rPr>
          <w:rFonts w:ascii="Times New Roman" w:hAnsi="Times New Roman"/>
          <w:sz w:val="28"/>
          <w:szCs w:val="28"/>
        </w:rPr>
        <w:t>Articolo 17</w:t>
      </w:r>
    </w:p>
    <w:p w:rsidR="00EC1C99" w:rsidRPr="008D59B7" w:rsidRDefault="00EC1C99" w:rsidP="00EC1C99">
      <w:pPr>
        <w:pBdr>
          <w:top w:val="double" w:sz="4" w:space="1" w:color="auto"/>
          <w:left w:val="double" w:sz="4" w:space="4" w:color="auto"/>
          <w:bottom w:val="double" w:sz="4" w:space="1" w:color="auto"/>
          <w:right w:val="double" w:sz="4" w:space="4" w:color="auto"/>
        </w:pBdr>
        <w:autoSpaceDE w:val="0"/>
        <w:autoSpaceDN w:val="0"/>
        <w:adjustRightInd w:val="0"/>
        <w:ind w:firstLine="180"/>
        <w:jc w:val="both"/>
        <w:rPr>
          <w:sz w:val="28"/>
          <w:szCs w:val="28"/>
        </w:rPr>
      </w:pPr>
    </w:p>
    <w:p w:rsidR="00EC1C99" w:rsidRPr="008D59B7" w:rsidRDefault="00EC1C99" w:rsidP="00EC1C99">
      <w:pPr>
        <w:pBdr>
          <w:top w:val="double" w:sz="4" w:space="1" w:color="auto"/>
          <w:left w:val="double" w:sz="4" w:space="4" w:color="auto"/>
          <w:bottom w:val="double" w:sz="4" w:space="1" w:color="auto"/>
          <w:right w:val="double" w:sz="4" w:space="4" w:color="auto"/>
        </w:pBdr>
        <w:autoSpaceDE w:val="0"/>
        <w:autoSpaceDN w:val="0"/>
        <w:adjustRightInd w:val="0"/>
        <w:ind w:firstLine="180"/>
        <w:jc w:val="both"/>
        <w:rPr>
          <w:sz w:val="28"/>
          <w:szCs w:val="28"/>
        </w:rPr>
      </w:pPr>
      <w:r w:rsidRPr="008D59B7">
        <w:rPr>
          <w:sz w:val="28"/>
          <w:szCs w:val="28"/>
        </w:rPr>
        <w:t xml:space="preserve">4. La Commissione nominata tra la data di entrata in vigore del trattato di Lisbona e il </w:t>
      </w:r>
      <w:r w:rsidRPr="009A277E">
        <w:rPr>
          <w:sz w:val="28"/>
          <w:szCs w:val="28"/>
          <w:u w:val="single"/>
        </w:rPr>
        <w:t>31 ottobre 2014</w:t>
      </w:r>
      <w:r w:rsidRPr="008D59B7">
        <w:rPr>
          <w:sz w:val="28"/>
          <w:szCs w:val="28"/>
        </w:rPr>
        <w:t xml:space="preserve"> è composta da </w:t>
      </w:r>
      <w:r w:rsidRPr="008D59B7">
        <w:rPr>
          <w:sz w:val="28"/>
          <w:szCs w:val="28"/>
          <w:highlight w:val="yellow"/>
        </w:rPr>
        <w:t>un cittadino di ciascuno Stato membro</w:t>
      </w:r>
      <w:r w:rsidRPr="008D59B7">
        <w:rPr>
          <w:sz w:val="28"/>
          <w:szCs w:val="28"/>
        </w:rPr>
        <w:t xml:space="preserve">, </w:t>
      </w:r>
      <w:r w:rsidRPr="008D59B7">
        <w:rPr>
          <w:sz w:val="28"/>
          <w:szCs w:val="28"/>
          <w:highlight w:val="yellow"/>
        </w:rPr>
        <w:t>compreso il presidente e l'alto rappresentante dell'Unione</w:t>
      </w:r>
      <w:r w:rsidRPr="008D59B7">
        <w:rPr>
          <w:sz w:val="28"/>
          <w:szCs w:val="28"/>
        </w:rPr>
        <w:t xml:space="preserve"> per gli affari esteri e la politica di sicurezza, che è uno dei vicepresidenti.</w:t>
      </w:r>
    </w:p>
    <w:p w:rsidR="00EC1C99" w:rsidRPr="008D59B7" w:rsidRDefault="00EC1C99" w:rsidP="00EC1C99">
      <w:pPr>
        <w:pBdr>
          <w:top w:val="double" w:sz="4" w:space="1" w:color="auto"/>
          <w:left w:val="double" w:sz="4" w:space="4" w:color="auto"/>
          <w:bottom w:val="double" w:sz="4" w:space="1" w:color="auto"/>
          <w:right w:val="double" w:sz="4" w:space="4" w:color="auto"/>
        </w:pBdr>
        <w:autoSpaceDE w:val="0"/>
        <w:autoSpaceDN w:val="0"/>
        <w:adjustRightInd w:val="0"/>
        <w:ind w:firstLine="180"/>
        <w:jc w:val="both"/>
        <w:rPr>
          <w:sz w:val="28"/>
          <w:szCs w:val="28"/>
        </w:rPr>
      </w:pPr>
    </w:p>
    <w:p w:rsidR="00EC1C99" w:rsidRPr="008D59B7" w:rsidRDefault="00EC1C99" w:rsidP="00EC1C99">
      <w:pPr>
        <w:pBdr>
          <w:top w:val="double" w:sz="4" w:space="1" w:color="auto"/>
          <w:left w:val="double" w:sz="4" w:space="4" w:color="auto"/>
          <w:bottom w:val="double" w:sz="4" w:space="1" w:color="auto"/>
          <w:right w:val="double" w:sz="4" w:space="4" w:color="auto"/>
        </w:pBdr>
        <w:autoSpaceDE w:val="0"/>
        <w:autoSpaceDN w:val="0"/>
        <w:adjustRightInd w:val="0"/>
        <w:ind w:firstLine="180"/>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763270</wp:posOffset>
                </wp:positionV>
                <wp:extent cx="466725" cy="2466975"/>
                <wp:effectExtent l="28575" t="17145" r="38100" b="1905"/>
                <wp:wrapNone/>
                <wp:docPr id="3" name="Freccia circolare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466975"/>
                        </a:xfrm>
                        <a:prstGeom prst="curvedRightArrow">
                          <a:avLst>
                            <a:gd name="adj1" fmla="val 24985"/>
                            <a:gd name="adj2" fmla="val 49994"/>
                            <a:gd name="adj3"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FBF1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reccia circolare a destra 3" o:spid="_x0000_s1026" type="#_x0000_t102" style="position:absolute;margin-left:-44.7pt;margin-top:60.1pt;width:36.75pt;height:1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" adj="19557,21089,16200" fillcolor="#4f81bd" strokecolor="#243f60" strokeweight="2pt"/>
            </w:pict>
          </mc:Fallback>
        </mc:AlternateContent>
      </w:r>
      <w:r w:rsidRPr="008D59B7">
        <w:rPr>
          <w:sz w:val="28"/>
          <w:szCs w:val="28"/>
        </w:rPr>
        <w:t xml:space="preserve">5. A decorrere dal </w:t>
      </w:r>
      <w:r w:rsidRPr="008D59B7">
        <w:rPr>
          <w:sz w:val="28"/>
          <w:szCs w:val="28"/>
          <w:highlight w:val="yellow"/>
        </w:rPr>
        <w:t>1</w:t>
      </w:r>
      <w:proofErr w:type="gramStart"/>
      <w:r w:rsidRPr="008D59B7">
        <w:rPr>
          <w:sz w:val="28"/>
          <w:szCs w:val="28"/>
          <w:highlight w:val="yellow"/>
        </w:rPr>
        <w:t>°  novembre</w:t>
      </w:r>
      <w:proofErr w:type="gramEnd"/>
      <w:r w:rsidRPr="008D59B7">
        <w:rPr>
          <w:sz w:val="28"/>
          <w:szCs w:val="28"/>
          <w:highlight w:val="yellow"/>
        </w:rPr>
        <w:t xml:space="preserve"> 2014</w:t>
      </w:r>
      <w:r w:rsidRPr="008D59B7">
        <w:rPr>
          <w:sz w:val="28"/>
          <w:szCs w:val="28"/>
        </w:rPr>
        <w:t xml:space="preserve">, la Commissione è composta da un numero di membri, compreso il presidente e l'alto rappresentante dell'Unione per gli affari esteri e la politica di sicurezza, corrispondente ai </w:t>
      </w:r>
      <w:r w:rsidRPr="008D59B7">
        <w:rPr>
          <w:sz w:val="28"/>
          <w:szCs w:val="28"/>
          <w:highlight w:val="yellow"/>
        </w:rPr>
        <w:t>due terzi</w:t>
      </w:r>
      <w:r w:rsidRPr="008D59B7">
        <w:rPr>
          <w:sz w:val="28"/>
          <w:szCs w:val="28"/>
        </w:rPr>
        <w:t xml:space="preserve"> del numero degli Stati membri, </w:t>
      </w:r>
      <w:r w:rsidRPr="008D59B7">
        <w:rPr>
          <w:sz w:val="28"/>
          <w:szCs w:val="28"/>
          <w:highlight w:val="yellow"/>
        </w:rPr>
        <w:t>a meno che il Consiglio europeo</w:t>
      </w:r>
      <w:r w:rsidRPr="001647B4">
        <w:rPr>
          <w:sz w:val="28"/>
          <w:szCs w:val="28"/>
          <w:highlight w:val="yellow"/>
        </w:rPr>
        <w:t>, deliberando all'unanimità, non decida di modificare tale numero.</w:t>
      </w:r>
    </w:p>
    <w:p w:rsidR="00EC1C99" w:rsidRPr="008D59B7" w:rsidRDefault="00EC1C99" w:rsidP="00EC1C99">
      <w:pPr>
        <w:pBdr>
          <w:top w:val="double" w:sz="4" w:space="1" w:color="auto"/>
          <w:left w:val="double" w:sz="4" w:space="4" w:color="auto"/>
          <w:bottom w:val="double" w:sz="4" w:space="1" w:color="auto"/>
          <w:right w:val="double" w:sz="4" w:space="4" w:color="auto"/>
        </w:pBdr>
        <w:autoSpaceDE w:val="0"/>
        <w:autoSpaceDN w:val="0"/>
        <w:adjustRightInd w:val="0"/>
        <w:ind w:firstLine="180"/>
        <w:jc w:val="both"/>
        <w:rPr>
          <w:i/>
          <w:sz w:val="28"/>
          <w:szCs w:val="28"/>
        </w:rPr>
      </w:pPr>
      <w:r w:rsidRPr="008D59B7">
        <w:rPr>
          <w:sz w:val="28"/>
          <w:szCs w:val="28"/>
        </w:rPr>
        <w:t xml:space="preserve">I membri della Commissione sono scelti tra i cittadini degli Stati membri in base ad un sistema di </w:t>
      </w:r>
      <w:r w:rsidRPr="008D59B7">
        <w:rPr>
          <w:sz w:val="28"/>
          <w:szCs w:val="28"/>
          <w:highlight w:val="yellow"/>
        </w:rPr>
        <w:t>rotazione</w:t>
      </w:r>
      <w:r w:rsidRPr="008D59B7">
        <w:rPr>
          <w:sz w:val="28"/>
          <w:szCs w:val="28"/>
        </w:rPr>
        <w:t xml:space="preserve"> </w:t>
      </w:r>
      <w:r w:rsidRPr="009A277E">
        <w:rPr>
          <w:sz w:val="28"/>
          <w:szCs w:val="28"/>
          <w:highlight w:val="yellow"/>
        </w:rPr>
        <w:t>assolutamente paritaria</w:t>
      </w:r>
      <w:r w:rsidRPr="008D59B7">
        <w:rPr>
          <w:sz w:val="28"/>
          <w:szCs w:val="28"/>
        </w:rPr>
        <w:t xml:space="preserve"> tra gli Stati membri che consenta di riflettere la </w:t>
      </w:r>
      <w:r w:rsidRPr="009A277E">
        <w:rPr>
          <w:sz w:val="28"/>
          <w:szCs w:val="28"/>
          <w:highlight w:val="yellow"/>
        </w:rPr>
        <w:t>molteplicità demografica e geografica</w:t>
      </w:r>
      <w:r w:rsidRPr="008D59B7">
        <w:rPr>
          <w:sz w:val="28"/>
          <w:szCs w:val="28"/>
        </w:rPr>
        <w:t xml:space="preserve"> degli Stati membri. Tale sistema è stabilito all'unanimità dal </w:t>
      </w:r>
      <w:r w:rsidRPr="009A277E">
        <w:rPr>
          <w:sz w:val="28"/>
          <w:szCs w:val="28"/>
          <w:highlight w:val="yellow"/>
        </w:rPr>
        <w:t>Consiglio europeo</w:t>
      </w:r>
      <w:r w:rsidRPr="008D59B7">
        <w:rPr>
          <w:sz w:val="28"/>
          <w:szCs w:val="28"/>
        </w:rPr>
        <w:t xml:space="preserve"> conformemente all'art. 244 del TFUE. </w:t>
      </w:r>
      <w:r w:rsidRPr="008D59B7">
        <w:rPr>
          <w:i/>
          <w:sz w:val="28"/>
          <w:szCs w:val="28"/>
        </w:rPr>
        <w:sym w:font="Wingdings" w:char="F0E8"/>
      </w:r>
      <w:r w:rsidRPr="008D59B7">
        <w:rPr>
          <w:i/>
          <w:sz w:val="28"/>
          <w:szCs w:val="28"/>
        </w:rPr>
        <w:t xml:space="preserve"> </w:t>
      </w:r>
      <w:r w:rsidRPr="008D59B7">
        <w:rPr>
          <w:i/>
          <w:sz w:val="28"/>
          <w:szCs w:val="28"/>
          <w:highlight w:val="yellow"/>
        </w:rPr>
        <w:t>art. 244 TFUE</w:t>
      </w:r>
    </w:p>
    <w:p w:rsidR="00EC1C99" w:rsidRDefault="00EC1C99" w:rsidP="00EC1C99">
      <w:pPr>
        <w:pBdr>
          <w:top w:val="double" w:sz="4" w:space="1" w:color="auto"/>
          <w:left w:val="double" w:sz="4" w:space="4" w:color="auto"/>
          <w:bottom w:val="double" w:sz="4" w:space="1" w:color="auto"/>
          <w:right w:val="double" w:sz="4" w:space="4" w:color="auto"/>
        </w:pBdr>
        <w:autoSpaceDE w:val="0"/>
        <w:autoSpaceDN w:val="0"/>
        <w:adjustRightInd w:val="0"/>
        <w:ind w:firstLine="180"/>
        <w:jc w:val="both"/>
        <w:rPr>
          <w:i/>
          <w:sz w:val="28"/>
          <w:szCs w:val="28"/>
        </w:rPr>
      </w:pPr>
    </w:p>
    <w:p w:rsidR="00EC1C99" w:rsidRDefault="00EC1C99" w:rsidP="00EC1C99">
      <w:pPr>
        <w:pBdr>
          <w:top w:val="single" w:sz="4" w:space="1" w:color="auto"/>
          <w:left w:val="single" w:sz="4" w:space="4" w:color="auto"/>
          <w:bottom w:val="single" w:sz="4" w:space="1" w:color="auto"/>
          <w:right w:val="single" w:sz="4" w:space="4" w:color="auto"/>
        </w:pBdr>
        <w:ind w:firstLine="360"/>
        <w:jc w:val="both"/>
        <w:rPr>
          <w:rFonts w:ascii="simoncini garamond" w:hAnsi="simoncini garamond"/>
          <w:sz w:val="32"/>
          <w:szCs w:val="32"/>
        </w:rPr>
      </w:pPr>
      <w:r>
        <w:rPr>
          <w:rFonts w:ascii="simoncini garamond" w:hAnsi="simoncini garamond"/>
          <w:noProof/>
          <w:sz w:val="32"/>
          <w:szCs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92710</wp:posOffset>
                </wp:positionV>
                <wp:extent cx="190500" cy="276225"/>
                <wp:effectExtent l="9525" t="7620" r="19050" b="78105"/>
                <wp:wrapNone/>
                <wp:docPr id="2" name="Connettore 4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76225"/>
                        </a:xfrm>
                        <a:prstGeom prst="bentConnector3">
                          <a:avLst>
                            <a:gd name="adj1" fmla="val 50000"/>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3F5E5"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4 2" o:spid="_x0000_s1026" type="#_x0000_t34" style="position:absolute;margin-left:-1.95pt;margin-top:7.3pt;width: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" strokecolor="#4579b8">
                <v:stroke endarrow="open"/>
              </v:shape>
            </w:pict>
          </mc:Fallback>
        </mc:AlternateContent>
      </w:r>
    </w:p>
    <w:p w:rsidR="00EC1C99" w:rsidRPr="00F75CDD" w:rsidRDefault="00EC1C99" w:rsidP="00EC1C99">
      <w:pPr>
        <w:pBdr>
          <w:top w:val="single" w:sz="4" w:space="1" w:color="auto"/>
          <w:left w:val="single" w:sz="4" w:space="4" w:color="auto"/>
          <w:bottom w:val="single" w:sz="4" w:space="1" w:color="auto"/>
          <w:right w:val="single" w:sz="4" w:space="4" w:color="auto"/>
        </w:pBdr>
        <w:ind w:firstLine="360"/>
        <w:jc w:val="both"/>
        <w:rPr>
          <w:rFonts w:ascii="simoncini garamond" w:hAnsi="simoncini garamond"/>
          <w:sz w:val="24"/>
          <w:szCs w:val="24"/>
        </w:rPr>
      </w:pPr>
      <w:r w:rsidRPr="00F75CDD">
        <w:rPr>
          <w:rFonts w:ascii="simoncini garamond" w:hAnsi="simoncini garamond"/>
          <w:sz w:val="24"/>
          <w:szCs w:val="24"/>
        </w:rPr>
        <w:t>Decisione del Consiglio europeo 22 maggio 2013: revisione prima dell’adesione del trentesimo Stato membro.</w:t>
      </w:r>
    </w:p>
    <w:p w:rsidR="00EC1C99" w:rsidRPr="0063739A" w:rsidRDefault="00EC1C99" w:rsidP="00EC1C99">
      <w:pPr>
        <w:pBdr>
          <w:top w:val="single" w:sz="4" w:space="1" w:color="auto"/>
          <w:left w:val="single" w:sz="4" w:space="4" w:color="auto"/>
          <w:bottom w:val="single" w:sz="4" w:space="1" w:color="auto"/>
          <w:right w:val="single" w:sz="4" w:space="4" w:color="auto"/>
        </w:pBdr>
        <w:ind w:firstLine="360"/>
        <w:jc w:val="both"/>
        <w:rPr>
          <w:rFonts w:ascii="simoncini garamond" w:hAnsi="simoncini garamond"/>
          <w:sz w:val="32"/>
          <w:szCs w:val="32"/>
        </w:rPr>
      </w:pPr>
      <w:r w:rsidRPr="0063739A">
        <w:rPr>
          <w:rFonts w:ascii="simoncini garamond" w:hAnsi="simoncini garamond"/>
          <w:sz w:val="32"/>
          <w:szCs w:val="32"/>
        </w:rPr>
        <w:t xml:space="preserve"> </w:t>
      </w:r>
    </w:p>
    <w:p w:rsidR="00EC1C99" w:rsidRDefault="00EC1C99" w:rsidP="00EC1C99">
      <w:pPr>
        <w:autoSpaceDE w:val="0"/>
        <w:autoSpaceDN w:val="0"/>
        <w:adjustRightInd w:val="0"/>
        <w:ind w:firstLine="180"/>
        <w:jc w:val="both"/>
        <w:rPr>
          <w:b/>
          <w:sz w:val="28"/>
          <w:szCs w:val="28"/>
        </w:rPr>
      </w:pPr>
    </w:p>
    <w:p w:rsidR="00EC1C99" w:rsidRDefault="00EC1C99" w:rsidP="00EC1C99">
      <w:pPr>
        <w:autoSpaceDE w:val="0"/>
        <w:autoSpaceDN w:val="0"/>
        <w:adjustRightInd w:val="0"/>
        <w:ind w:firstLine="180"/>
        <w:jc w:val="both"/>
        <w:rPr>
          <w:b/>
          <w:color w:val="FF0000"/>
          <w:sz w:val="28"/>
          <w:szCs w:val="28"/>
        </w:rPr>
      </w:pPr>
    </w:p>
    <w:p w:rsidR="00EC1C99" w:rsidRPr="002377A4" w:rsidRDefault="00EC1C99" w:rsidP="00EC1C99">
      <w:pPr>
        <w:autoSpaceDE w:val="0"/>
        <w:autoSpaceDN w:val="0"/>
        <w:adjustRightInd w:val="0"/>
        <w:ind w:firstLine="180"/>
        <w:jc w:val="both"/>
        <w:rPr>
          <w:b/>
          <w:color w:val="FF0000"/>
          <w:sz w:val="28"/>
          <w:szCs w:val="28"/>
        </w:rPr>
      </w:pPr>
      <w:r w:rsidRPr="002377A4">
        <w:rPr>
          <w:b/>
          <w:color w:val="FF0000"/>
          <w:sz w:val="28"/>
          <w:szCs w:val="28"/>
        </w:rPr>
        <w:t>INDIPENDENZA</w:t>
      </w:r>
    </w:p>
    <w:p w:rsidR="00EC1C99" w:rsidRDefault="00EC1C99" w:rsidP="00EC1C99">
      <w:pPr>
        <w:autoSpaceDE w:val="0"/>
        <w:autoSpaceDN w:val="0"/>
        <w:adjustRightInd w:val="0"/>
        <w:ind w:firstLine="180"/>
        <w:jc w:val="both"/>
        <w:rPr>
          <w:b/>
          <w:sz w:val="28"/>
          <w:szCs w:val="28"/>
        </w:rPr>
      </w:pPr>
    </w:p>
    <w:p w:rsidR="00EC1C99" w:rsidRPr="002377A4"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b/>
          <w:sz w:val="28"/>
          <w:szCs w:val="28"/>
        </w:rPr>
      </w:pPr>
      <w:r w:rsidRPr="002377A4">
        <w:rPr>
          <w:b/>
          <w:sz w:val="28"/>
          <w:szCs w:val="28"/>
        </w:rPr>
        <w:t>TUE, Art. 17</w:t>
      </w:r>
    </w:p>
    <w:p w:rsidR="00EC1C99" w:rsidRPr="008D59B7"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i/>
          <w:sz w:val="28"/>
          <w:szCs w:val="28"/>
        </w:rPr>
      </w:pPr>
    </w:p>
    <w:p w:rsidR="00EC1C99"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i/>
          <w:sz w:val="28"/>
          <w:szCs w:val="28"/>
        </w:rPr>
      </w:pPr>
      <w:r w:rsidRPr="008D59B7">
        <w:rPr>
          <w:sz w:val="28"/>
          <w:szCs w:val="28"/>
        </w:rPr>
        <w:t xml:space="preserve">3. Il </w:t>
      </w:r>
      <w:r w:rsidRPr="008D59B7">
        <w:rPr>
          <w:sz w:val="28"/>
          <w:szCs w:val="28"/>
          <w:highlight w:val="yellow"/>
        </w:rPr>
        <w:t>mandato della Commissione è di cinque anni</w:t>
      </w:r>
      <w:r w:rsidRPr="008D59B7">
        <w:rPr>
          <w:sz w:val="28"/>
          <w:szCs w:val="28"/>
        </w:rPr>
        <w:t xml:space="preserve">. I membri della Commissione sono scelti in base alla loro </w:t>
      </w:r>
      <w:r w:rsidRPr="008D59B7">
        <w:rPr>
          <w:sz w:val="28"/>
          <w:szCs w:val="28"/>
          <w:highlight w:val="yellow"/>
        </w:rPr>
        <w:t>competenza generale</w:t>
      </w:r>
      <w:r w:rsidRPr="008D59B7">
        <w:rPr>
          <w:sz w:val="28"/>
          <w:szCs w:val="28"/>
        </w:rPr>
        <w:t xml:space="preserve"> e al loro </w:t>
      </w:r>
      <w:r w:rsidRPr="008D59B7">
        <w:rPr>
          <w:sz w:val="28"/>
          <w:szCs w:val="28"/>
          <w:highlight w:val="yellow"/>
        </w:rPr>
        <w:t>impegno europeo</w:t>
      </w:r>
      <w:r w:rsidRPr="008D59B7">
        <w:rPr>
          <w:sz w:val="28"/>
          <w:szCs w:val="28"/>
        </w:rPr>
        <w:t xml:space="preserve"> e tra personalità che offrono tutte le garanzie di </w:t>
      </w:r>
      <w:r w:rsidRPr="008D59B7">
        <w:rPr>
          <w:sz w:val="28"/>
          <w:szCs w:val="28"/>
          <w:highlight w:val="yellow"/>
        </w:rPr>
        <w:t>indipendenza</w:t>
      </w:r>
      <w:r w:rsidRPr="008D59B7">
        <w:rPr>
          <w:sz w:val="28"/>
          <w:szCs w:val="28"/>
        </w:rPr>
        <w:t xml:space="preserve">. La Commissione esercita le sue responsabilità in </w:t>
      </w:r>
      <w:r w:rsidRPr="008D59B7">
        <w:rPr>
          <w:sz w:val="28"/>
          <w:szCs w:val="28"/>
          <w:highlight w:val="yellow"/>
        </w:rPr>
        <w:t>piena indipendenza</w:t>
      </w:r>
      <w:r w:rsidRPr="008D59B7">
        <w:rPr>
          <w:sz w:val="28"/>
          <w:szCs w:val="28"/>
        </w:rPr>
        <w:t xml:space="preserve">. Fatto salvo l'art. 18, par. 2, i membri della </w:t>
      </w:r>
      <w:r w:rsidRPr="008D59B7">
        <w:rPr>
          <w:sz w:val="28"/>
          <w:szCs w:val="28"/>
        </w:rPr>
        <w:lastRenderedPageBreak/>
        <w:t xml:space="preserve">Commissione </w:t>
      </w:r>
      <w:r w:rsidRPr="008D59B7">
        <w:rPr>
          <w:sz w:val="28"/>
          <w:szCs w:val="28"/>
          <w:highlight w:val="yellow"/>
        </w:rPr>
        <w:t>non sollecitano né accettano istruzioni</w:t>
      </w:r>
      <w:r w:rsidRPr="008D59B7">
        <w:rPr>
          <w:sz w:val="28"/>
          <w:szCs w:val="28"/>
        </w:rPr>
        <w:t xml:space="preserve"> da alcun governo, istituzione, organo o organismo. Essi si astengono da ogni atto incompatibile con le loro funzioni o con l'esecuzione dei loro compiti. </w:t>
      </w:r>
      <w:r w:rsidRPr="008D59B7">
        <w:rPr>
          <w:i/>
          <w:sz w:val="28"/>
          <w:szCs w:val="28"/>
          <w:highlight w:val="yellow"/>
        </w:rPr>
        <w:sym w:font="Wingdings" w:char="F0E8"/>
      </w:r>
      <w:r w:rsidRPr="008D59B7">
        <w:rPr>
          <w:i/>
          <w:sz w:val="28"/>
          <w:szCs w:val="28"/>
          <w:highlight w:val="yellow"/>
        </w:rPr>
        <w:t xml:space="preserve">se violano tali obblighi art. 245 </w:t>
      </w:r>
      <w:r w:rsidRPr="008D59B7">
        <w:rPr>
          <w:i/>
          <w:sz w:val="28"/>
          <w:szCs w:val="28"/>
        </w:rPr>
        <w:t>TFUE</w:t>
      </w:r>
    </w:p>
    <w:p w:rsidR="00EC1C99" w:rsidRDefault="00EC1C99" w:rsidP="00EC1C99">
      <w:pPr>
        <w:autoSpaceDE w:val="0"/>
        <w:autoSpaceDN w:val="0"/>
        <w:adjustRightInd w:val="0"/>
        <w:ind w:firstLine="180"/>
        <w:jc w:val="both"/>
        <w:rPr>
          <w:i/>
          <w:sz w:val="28"/>
          <w:szCs w:val="28"/>
        </w:rPr>
      </w:pPr>
    </w:p>
    <w:p w:rsidR="00EC1C99" w:rsidRDefault="00EC1C99" w:rsidP="00EC1C99">
      <w:pPr>
        <w:ind w:firstLine="360"/>
        <w:jc w:val="both"/>
        <w:rPr>
          <w:rFonts w:ascii="simoncini garamond" w:hAnsi="simoncini garamond"/>
          <w:i/>
          <w:iCs/>
          <w:sz w:val="32"/>
          <w:szCs w:val="32"/>
        </w:rPr>
      </w:pPr>
    </w:p>
    <w:p w:rsidR="00EC1C99" w:rsidRPr="00EC1C99" w:rsidRDefault="00EC1C99" w:rsidP="00EC1C99">
      <w:pPr>
        <w:pStyle w:val="Rientrocorpodeltesto3"/>
        <w:pBdr>
          <w:top w:val="single" w:sz="4" w:space="1" w:color="auto"/>
          <w:left w:val="single" w:sz="4" w:space="4" w:color="auto"/>
          <w:bottom w:val="single" w:sz="4" w:space="1" w:color="auto"/>
          <w:right w:val="single" w:sz="4" w:space="4" w:color="auto"/>
        </w:pBdr>
        <w:ind w:left="0" w:firstLine="360"/>
        <w:rPr>
          <w:rFonts w:ascii="simoncini garamond" w:hAnsi="simoncini garamond"/>
          <w:i/>
          <w:iCs/>
          <w:sz w:val="28"/>
          <w:szCs w:val="28"/>
        </w:rPr>
      </w:pPr>
      <w:r w:rsidRPr="00EC1C99">
        <w:rPr>
          <w:rFonts w:ascii="simoncini garamond" w:hAnsi="simoncini garamond"/>
          <w:b/>
          <w:bCs/>
          <w:sz w:val="28"/>
          <w:szCs w:val="28"/>
        </w:rPr>
        <w:t>TFUE, Articolo 245</w:t>
      </w:r>
      <w:r w:rsidRPr="00EC1C99">
        <w:rPr>
          <w:rFonts w:ascii="simoncini garamond" w:hAnsi="simoncini garamond"/>
          <w:i/>
          <w:iCs/>
          <w:sz w:val="28"/>
          <w:szCs w:val="28"/>
        </w:rPr>
        <w:t xml:space="preserve"> (già art. 213 TCE)</w:t>
      </w:r>
    </w:p>
    <w:p w:rsidR="00EC1C99" w:rsidRPr="00EC1C99" w:rsidRDefault="00EC1C99" w:rsidP="00EC1C99">
      <w:pPr>
        <w:pStyle w:val="Rientrocorpodeltesto3"/>
        <w:pBdr>
          <w:top w:val="single" w:sz="4" w:space="1" w:color="auto"/>
          <w:left w:val="single" w:sz="4" w:space="4" w:color="auto"/>
          <w:bottom w:val="single" w:sz="4" w:space="1" w:color="auto"/>
          <w:right w:val="single" w:sz="4" w:space="4" w:color="auto"/>
        </w:pBdr>
        <w:ind w:left="0" w:firstLine="360"/>
        <w:rPr>
          <w:rFonts w:ascii="simoncini garamond" w:hAnsi="simoncini garamond"/>
          <w:sz w:val="28"/>
          <w:szCs w:val="28"/>
        </w:rPr>
      </w:pPr>
    </w:p>
    <w:p w:rsidR="00EC1C99" w:rsidRPr="00EC1C99" w:rsidRDefault="00EC1C99" w:rsidP="00EC1C99">
      <w:pPr>
        <w:pStyle w:val="Rientrocorpodeltesto3"/>
        <w:pBdr>
          <w:top w:val="single" w:sz="4" w:space="1" w:color="auto"/>
          <w:left w:val="single" w:sz="4" w:space="4" w:color="auto"/>
          <w:bottom w:val="single" w:sz="4" w:space="1" w:color="auto"/>
          <w:right w:val="single" w:sz="4" w:space="4" w:color="auto"/>
        </w:pBdr>
        <w:ind w:left="0" w:firstLine="360"/>
        <w:rPr>
          <w:rFonts w:ascii="simoncini garamond" w:hAnsi="simoncini garamond"/>
          <w:sz w:val="28"/>
          <w:szCs w:val="28"/>
        </w:rPr>
      </w:pPr>
      <w:r w:rsidRPr="00EC1C99">
        <w:rPr>
          <w:rFonts w:ascii="simoncini garamond" w:hAnsi="simoncini garamond"/>
          <w:sz w:val="28"/>
          <w:szCs w:val="28"/>
        </w:rPr>
        <w:t xml:space="preserve">I membri della Commissione si astengono da ogni atto incompatibile con il carattere delle loro funzioni. </w:t>
      </w:r>
      <w:r w:rsidRPr="00EC1C99">
        <w:rPr>
          <w:rFonts w:ascii="simoncini garamond" w:hAnsi="simoncini garamond"/>
          <w:sz w:val="28"/>
          <w:szCs w:val="28"/>
          <w:highlight w:val="yellow"/>
        </w:rPr>
        <w:t>Gli Stati membri</w:t>
      </w:r>
      <w:r w:rsidRPr="00EC1C99">
        <w:rPr>
          <w:rFonts w:ascii="simoncini garamond" w:hAnsi="simoncini garamond"/>
          <w:sz w:val="28"/>
          <w:szCs w:val="28"/>
        </w:rPr>
        <w:t xml:space="preserve"> </w:t>
      </w:r>
      <w:r w:rsidRPr="00EC1C99">
        <w:rPr>
          <w:rFonts w:ascii="simoncini garamond" w:hAnsi="simoncini garamond"/>
          <w:sz w:val="28"/>
          <w:szCs w:val="28"/>
          <w:highlight w:val="yellow"/>
        </w:rPr>
        <w:t>rispettano la loro indipendenza e non cercano di influenzarli</w:t>
      </w:r>
      <w:r w:rsidRPr="00EC1C99">
        <w:rPr>
          <w:rFonts w:ascii="simoncini garamond" w:hAnsi="simoncini garamond"/>
          <w:sz w:val="28"/>
          <w:szCs w:val="28"/>
        </w:rPr>
        <w:t xml:space="preserve"> nell'adempimento dei loro compiti. </w:t>
      </w:r>
    </w:p>
    <w:p w:rsidR="00EC1C99" w:rsidRPr="00EC1C99" w:rsidRDefault="00EC1C99" w:rsidP="00EC1C99">
      <w:pPr>
        <w:pStyle w:val="Rientrocorpodeltesto3"/>
        <w:pBdr>
          <w:top w:val="single" w:sz="4" w:space="1" w:color="auto"/>
          <w:left w:val="single" w:sz="4" w:space="4" w:color="auto"/>
          <w:bottom w:val="single" w:sz="4" w:space="1" w:color="auto"/>
          <w:right w:val="single" w:sz="4" w:space="4" w:color="auto"/>
        </w:pBdr>
        <w:ind w:left="0" w:firstLine="360"/>
        <w:rPr>
          <w:rFonts w:ascii="simoncini garamond" w:hAnsi="simoncini garamond"/>
          <w:sz w:val="28"/>
          <w:szCs w:val="28"/>
        </w:rPr>
      </w:pPr>
      <w:r w:rsidRPr="00EC1C99">
        <w:rPr>
          <w:rFonts w:ascii="simoncini garamond" w:hAnsi="simoncini garamond"/>
          <w:sz w:val="28"/>
          <w:szCs w:val="28"/>
        </w:rPr>
        <w:t xml:space="preserve">I membri della Commissione non possono, per la durata delle loro funzioni, esercitare alcun'altra </w:t>
      </w:r>
      <w:r w:rsidRPr="00EC1C99">
        <w:rPr>
          <w:rFonts w:ascii="simoncini garamond" w:hAnsi="simoncini garamond"/>
          <w:sz w:val="28"/>
          <w:szCs w:val="28"/>
          <w:highlight w:val="yellow"/>
        </w:rPr>
        <w:t>attività professionale</w:t>
      </w:r>
      <w:r w:rsidRPr="00EC1C99">
        <w:rPr>
          <w:rFonts w:ascii="simoncini garamond" w:hAnsi="simoncini garamond"/>
          <w:sz w:val="28"/>
          <w:szCs w:val="28"/>
        </w:rPr>
        <w:t xml:space="preserve">, rimunerata o meno. Fin dal loro insediamento, essi assumono l'impegno solenne di rispettare, per la durata delle loro funzioni e dopo la cessazione di queste, gli obblighi derivanti dalla loro carica, ed in particolare i </w:t>
      </w:r>
      <w:r w:rsidRPr="00EC1C99">
        <w:rPr>
          <w:rFonts w:ascii="simoncini garamond" w:hAnsi="simoncini garamond"/>
          <w:sz w:val="28"/>
          <w:szCs w:val="28"/>
          <w:highlight w:val="yellow"/>
        </w:rPr>
        <w:t>doveri di onestà e delicatezza</w:t>
      </w:r>
      <w:r w:rsidRPr="00EC1C99">
        <w:rPr>
          <w:rFonts w:ascii="simoncini garamond" w:hAnsi="simoncini garamond"/>
          <w:sz w:val="28"/>
          <w:szCs w:val="28"/>
        </w:rPr>
        <w:t xml:space="preserve"> per quanto riguarda l'accettare, dopo tale cessazione, determinate funzioni o vantaggi. </w:t>
      </w:r>
      <w:r w:rsidRPr="00EC1C99">
        <w:rPr>
          <w:rFonts w:ascii="simoncini garamond" w:hAnsi="simoncini garamond"/>
          <w:sz w:val="28"/>
          <w:szCs w:val="28"/>
          <w:highlight w:val="yellow"/>
        </w:rPr>
        <w:t xml:space="preserve">In caso di violazione degli obblighi stessi, la Corte di giustizia, su istanza del Consiglio, che delibera a maggioranza semplice, o della Commissione, può, a seconda dei casi, pronunciare le </w:t>
      </w:r>
      <w:r w:rsidRPr="00EC1C99">
        <w:rPr>
          <w:rFonts w:ascii="simoncini garamond" w:hAnsi="simoncini garamond"/>
          <w:sz w:val="28"/>
          <w:szCs w:val="28"/>
          <w:highlight w:val="yellow"/>
          <w:u w:val="single"/>
        </w:rPr>
        <w:t>dimissioni d'ufficio</w:t>
      </w:r>
      <w:r w:rsidRPr="00EC1C99">
        <w:rPr>
          <w:rFonts w:ascii="simoncini garamond" w:hAnsi="simoncini garamond"/>
          <w:sz w:val="28"/>
          <w:szCs w:val="28"/>
        </w:rPr>
        <w:t xml:space="preserve"> alle condizioni previste dall'art. 247 </w:t>
      </w:r>
      <w:r w:rsidRPr="00EC1C99">
        <w:rPr>
          <w:rFonts w:ascii="simoncini garamond" w:hAnsi="simoncini garamond"/>
          <w:sz w:val="28"/>
          <w:szCs w:val="28"/>
          <w:highlight w:val="yellow"/>
        </w:rPr>
        <w:t>ovvero la decadenza dal diritto a pensione</w:t>
      </w:r>
      <w:r w:rsidRPr="00EC1C99">
        <w:rPr>
          <w:rFonts w:ascii="simoncini garamond" w:hAnsi="simoncini garamond"/>
          <w:sz w:val="28"/>
          <w:szCs w:val="28"/>
        </w:rPr>
        <w:t xml:space="preserve"> dell'interessato o da altri vantaggi sostitutivi. </w:t>
      </w:r>
    </w:p>
    <w:p w:rsidR="00EC1C99" w:rsidRDefault="00EC1C99" w:rsidP="00EC1C99">
      <w:pPr>
        <w:autoSpaceDE w:val="0"/>
        <w:autoSpaceDN w:val="0"/>
        <w:adjustRightInd w:val="0"/>
        <w:ind w:firstLine="180"/>
        <w:jc w:val="both"/>
        <w:rPr>
          <w:sz w:val="28"/>
          <w:szCs w:val="28"/>
        </w:rPr>
      </w:pPr>
    </w:p>
    <w:p w:rsidR="00EC1C99" w:rsidRDefault="00EC1C99" w:rsidP="00EC1C99">
      <w:pPr>
        <w:autoSpaceDE w:val="0"/>
        <w:autoSpaceDN w:val="0"/>
        <w:adjustRightInd w:val="0"/>
        <w:ind w:firstLine="180"/>
        <w:jc w:val="both"/>
        <w:rPr>
          <w:color w:val="FF0000"/>
          <w:sz w:val="28"/>
          <w:szCs w:val="28"/>
        </w:rPr>
      </w:pPr>
    </w:p>
    <w:p w:rsidR="00EC1C99" w:rsidRDefault="00EC1C99" w:rsidP="00EC1C99">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ind w:firstLine="180"/>
        <w:jc w:val="center"/>
        <w:rPr>
          <w:b/>
          <w:sz w:val="28"/>
          <w:szCs w:val="28"/>
          <w:highlight w:val="green"/>
        </w:rPr>
      </w:pPr>
    </w:p>
    <w:p w:rsidR="00EC1C99" w:rsidRDefault="00EC1C99" w:rsidP="00EC1C99">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ind w:firstLine="180"/>
        <w:jc w:val="both"/>
        <w:rPr>
          <w:b/>
          <w:sz w:val="28"/>
          <w:szCs w:val="28"/>
        </w:rPr>
      </w:pPr>
      <w:r w:rsidRPr="00D720A1">
        <w:rPr>
          <w:b/>
          <w:color w:val="FF0000"/>
          <w:sz w:val="28"/>
          <w:szCs w:val="28"/>
        </w:rPr>
        <w:t>NOMINA DELLA COMMISSIONE - PROCEDIMENTO DI NOMINA</w:t>
      </w:r>
    </w:p>
    <w:p w:rsidR="00EC1C99" w:rsidRDefault="00EC1C99" w:rsidP="00EC1C99">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ind w:firstLine="180"/>
        <w:jc w:val="both"/>
        <w:rPr>
          <w:b/>
          <w:sz w:val="28"/>
          <w:szCs w:val="28"/>
        </w:rPr>
      </w:pPr>
    </w:p>
    <w:p w:rsidR="00EC1C99" w:rsidRPr="008D59B7" w:rsidRDefault="00EC1C99" w:rsidP="00EC1C99">
      <w:pPr>
        <w:autoSpaceDE w:val="0"/>
        <w:autoSpaceDN w:val="0"/>
        <w:adjustRightInd w:val="0"/>
        <w:ind w:firstLine="180"/>
        <w:jc w:val="center"/>
        <w:rPr>
          <w:b/>
          <w:sz w:val="28"/>
          <w:szCs w:val="28"/>
        </w:rPr>
      </w:pPr>
    </w:p>
    <w:p w:rsidR="00EC1C99" w:rsidRDefault="00EC1C99" w:rsidP="00EC1C99">
      <w:pPr>
        <w:autoSpaceDE w:val="0"/>
        <w:autoSpaceDN w:val="0"/>
        <w:adjustRightInd w:val="0"/>
        <w:ind w:firstLine="180"/>
        <w:jc w:val="both"/>
        <w:rPr>
          <w:sz w:val="28"/>
          <w:szCs w:val="28"/>
        </w:rPr>
      </w:pPr>
    </w:p>
    <w:p w:rsidR="00EC1C99" w:rsidRPr="002D036A"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b/>
          <w:sz w:val="28"/>
          <w:szCs w:val="28"/>
        </w:rPr>
      </w:pPr>
      <w:r w:rsidRPr="002D036A">
        <w:rPr>
          <w:b/>
          <w:sz w:val="28"/>
          <w:szCs w:val="28"/>
        </w:rPr>
        <w:t>TUE, Art. 17</w:t>
      </w:r>
    </w:p>
    <w:p w:rsidR="00EC1C99" w:rsidRPr="008D59B7"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p>
    <w:p w:rsidR="00EC1C99"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r w:rsidRPr="008D59B7">
        <w:rPr>
          <w:sz w:val="28"/>
          <w:szCs w:val="28"/>
        </w:rPr>
        <w:t xml:space="preserve">7. </w:t>
      </w:r>
      <w:r w:rsidRPr="00042755">
        <w:rPr>
          <w:sz w:val="28"/>
          <w:szCs w:val="28"/>
          <w:u w:val="single"/>
        </w:rPr>
        <w:t>Tenuto conto delle elezioni del Parlamento europeo</w:t>
      </w:r>
      <w:r w:rsidRPr="008D59B7">
        <w:rPr>
          <w:sz w:val="28"/>
          <w:szCs w:val="28"/>
        </w:rPr>
        <w:t xml:space="preserve"> e dopo aver effettuato le consultazioni appropriate, il </w:t>
      </w:r>
      <w:r w:rsidRPr="008D59B7">
        <w:rPr>
          <w:sz w:val="28"/>
          <w:szCs w:val="28"/>
          <w:highlight w:val="yellow"/>
        </w:rPr>
        <w:t>Consiglio europeo, deliberando a maggioranza qualificata, propone al Parlamento europeo un candidato</w:t>
      </w:r>
      <w:r w:rsidRPr="008D59B7">
        <w:rPr>
          <w:sz w:val="28"/>
          <w:szCs w:val="28"/>
        </w:rPr>
        <w:t xml:space="preserve"> </w:t>
      </w:r>
      <w:r w:rsidRPr="009C16EB">
        <w:rPr>
          <w:sz w:val="28"/>
          <w:szCs w:val="28"/>
          <w:highlight w:val="yellow"/>
        </w:rPr>
        <w:t>alla carica di presidente della Commissione.</w:t>
      </w:r>
      <w:r w:rsidRPr="008D59B7">
        <w:rPr>
          <w:sz w:val="28"/>
          <w:szCs w:val="28"/>
        </w:rPr>
        <w:t xml:space="preserve"> Tale candidato è </w:t>
      </w:r>
      <w:r w:rsidRPr="008D59B7">
        <w:rPr>
          <w:sz w:val="28"/>
          <w:szCs w:val="28"/>
          <w:highlight w:val="yellow"/>
        </w:rPr>
        <w:t>eletto dal Parlamento europeo a maggioranza dei membri che lo compongono</w:t>
      </w:r>
      <w:r w:rsidRPr="008D59B7">
        <w:rPr>
          <w:sz w:val="28"/>
          <w:szCs w:val="28"/>
        </w:rPr>
        <w:t xml:space="preserve">. Se il candidato non ottiene la maggioranza, il Consiglio europeo, deliberando a maggioranza qualificata, propone entro un mese un </w:t>
      </w:r>
      <w:r w:rsidRPr="008D59B7">
        <w:rPr>
          <w:sz w:val="28"/>
          <w:szCs w:val="28"/>
          <w:highlight w:val="yellow"/>
        </w:rPr>
        <w:t>nuovo candidato</w:t>
      </w:r>
      <w:r w:rsidRPr="008D59B7">
        <w:rPr>
          <w:sz w:val="28"/>
          <w:szCs w:val="28"/>
        </w:rPr>
        <w:t>, che è eletto dal Parlamento europeo secondo la stessa procedura.</w:t>
      </w:r>
    </w:p>
    <w:p w:rsidR="00EC1C99" w:rsidRDefault="00EC1C99" w:rsidP="00EC1C99">
      <w:pPr>
        <w:autoSpaceDE w:val="0"/>
        <w:autoSpaceDN w:val="0"/>
        <w:adjustRightInd w:val="0"/>
        <w:ind w:left="624" w:right="1644" w:firstLine="181"/>
        <w:jc w:val="both"/>
        <w:rPr>
          <w:sz w:val="28"/>
          <w:szCs w:val="28"/>
        </w:rPr>
      </w:pPr>
      <w:r>
        <w:rPr>
          <w:sz w:val="28"/>
          <w:szCs w:val="28"/>
        </w:rPr>
        <w:t xml:space="preserve">Prassi dello </w:t>
      </w:r>
      <w:proofErr w:type="spellStart"/>
      <w:r w:rsidRPr="00F75CDD">
        <w:rPr>
          <w:sz w:val="28"/>
          <w:szCs w:val="28"/>
        </w:rPr>
        <w:t>spitzenkandidat</w:t>
      </w:r>
      <w:proofErr w:type="spellEnd"/>
      <w:r>
        <w:rPr>
          <w:sz w:val="28"/>
          <w:szCs w:val="28"/>
        </w:rPr>
        <w:t>:</w:t>
      </w:r>
    </w:p>
    <w:p w:rsidR="00EC1C99" w:rsidRDefault="00EC1C99" w:rsidP="00EC1C99">
      <w:pPr>
        <w:autoSpaceDE w:val="0"/>
        <w:autoSpaceDN w:val="0"/>
        <w:adjustRightInd w:val="0"/>
        <w:ind w:left="624" w:right="1644" w:firstLine="181"/>
        <w:jc w:val="both"/>
        <w:rPr>
          <w:sz w:val="28"/>
          <w:szCs w:val="28"/>
        </w:rPr>
      </w:pPr>
      <w:proofErr w:type="gramStart"/>
      <w:r>
        <w:rPr>
          <w:sz w:val="28"/>
          <w:szCs w:val="28"/>
        </w:rPr>
        <w:t>[</w:t>
      </w:r>
      <w:r w:rsidRPr="007A5731">
        <w:rPr>
          <w:sz w:val="28"/>
          <w:szCs w:val="28"/>
        </w:rPr>
        <w:sym w:font="Wingdings" w:char="F0E8"/>
      </w:r>
      <w:r>
        <w:rPr>
          <w:sz w:val="28"/>
          <w:szCs w:val="28"/>
        </w:rPr>
        <w:t xml:space="preserve"> </w:t>
      </w:r>
      <w:r w:rsidRPr="006F433F">
        <w:rPr>
          <w:b/>
          <w:sz w:val="28"/>
          <w:szCs w:val="28"/>
        </w:rPr>
        <w:t>Risoluzione</w:t>
      </w:r>
      <w:proofErr w:type="gramEnd"/>
      <w:r w:rsidRPr="006F433F">
        <w:rPr>
          <w:b/>
          <w:sz w:val="28"/>
          <w:szCs w:val="28"/>
        </w:rPr>
        <w:t xml:space="preserve"> PE 22 novembre 2012</w:t>
      </w:r>
      <w:r>
        <w:rPr>
          <w:sz w:val="28"/>
          <w:szCs w:val="28"/>
        </w:rPr>
        <w:t xml:space="preserve">: </w:t>
      </w:r>
    </w:p>
    <w:p w:rsidR="00EC1C99" w:rsidRDefault="00EC1C99" w:rsidP="00EC1C99">
      <w:pPr>
        <w:autoSpaceDE w:val="0"/>
        <w:autoSpaceDN w:val="0"/>
        <w:adjustRightInd w:val="0"/>
        <w:ind w:left="624" w:right="1644" w:firstLine="181"/>
        <w:jc w:val="both"/>
        <w:rPr>
          <w:sz w:val="28"/>
          <w:szCs w:val="28"/>
        </w:rPr>
      </w:pPr>
      <w:r w:rsidRPr="0008741E">
        <w:rPr>
          <w:rFonts w:ascii="inherit" w:hAnsi="inherit" w:cs="Arial"/>
          <w:sz w:val="28"/>
          <w:szCs w:val="28"/>
        </w:rPr>
        <w:t>“1.  </w:t>
      </w:r>
      <w:proofErr w:type="gramStart"/>
      <w:r w:rsidRPr="001E71CB">
        <w:rPr>
          <w:rFonts w:ascii="inherit" w:hAnsi="inherit" w:cs="Arial"/>
          <w:sz w:val="28"/>
          <w:szCs w:val="28"/>
          <w:u w:val="single"/>
        </w:rPr>
        <w:t>esorta</w:t>
      </w:r>
      <w:proofErr w:type="gramEnd"/>
      <w:r w:rsidRPr="001E71CB">
        <w:rPr>
          <w:rFonts w:ascii="inherit" w:hAnsi="inherit" w:cs="Arial"/>
          <w:sz w:val="28"/>
          <w:szCs w:val="28"/>
          <w:u w:val="single"/>
        </w:rPr>
        <w:t xml:space="preserve"> i partiti politici europei a nominare candidati alla presidenza della Commissione</w:t>
      </w:r>
      <w:r w:rsidRPr="0008741E">
        <w:rPr>
          <w:rFonts w:ascii="inherit" w:hAnsi="inherit" w:cs="Arial"/>
          <w:sz w:val="28"/>
          <w:szCs w:val="28"/>
        </w:rPr>
        <w:t xml:space="preserve"> e si aspetta che tali candidati svolgano un ruolo guida nell'ambito della campagna elettorale parlamentare, in particolare presentando personalmente il loro programma in tutti gli Stati membri dell'Unione; sottolinea </w:t>
      </w:r>
      <w:r w:rsidRPr="0008741E">
        <w:rPr>
          <w:rFonts w:ascii="inherit" w:hAnsi="inherit" w:cs="Arial"/>
          <w:sz w:val="28"/>
          <w:szCs w:val="28"/>
        </w:rPr>
        <w:lastRenderedPageBreak/>
        <w:t xml:space="preserve">l'importanza di </w:t>
      </w:r>
      <w:r w:rsidRPr="001E71CB">
        <w:rPr>
          <w:rFonts w:ascii="inherit" w:hAnsi="inherit" w:cs="Arial"/>
          <w:sz w:val="28"/>
          <w:szCs w:val="28"/>
          <w:u w:val="single"/>
        </w:rPr>
        <w:t>rafforzare la legittimità politica</w:t>
      </w:r>
      <w:r w:rsidRPr="0008741E">
        <w:rPr>
          <w:rFonts w:ascii="inherit" w:hAnsi="inherit" w:cs="Arial"/>
          <w:sz w:val="28"/>
          <w:szCs w:val="28"/>
        </w:rPr>
        <w:t xml:space="preserve"> sia del Parlamento che della Commissione instaurando un collegamento più diretto tra le rispettive elezioni e la scelta dei votanti”</w:t>
      </w:r>
      <w:r w:rsidRPr="0008741E">
        <w:rPr>
          <w:sz w:val="28"/>
          <w:szCs w:val="28"/>
        </w:rPr>
        <w:t>]</w:t>
      </w:r>
    </w:p>
    <w:p w:rsidR="00EC1C99" w:rsidRPr="0008741E" w:rsidRDefault="00EC1C99" w:rsidP="00EC1C99">
      <w:pPr>
        <w:autoSpaceDE w:val="0"/>
        <w:autoSpaceDN w:val="0"/>
        <w:adjustRightInd w:val="0"/>
        <w:ind w:left="624" w:right="1644" w:firstLine="181"/>
        <w:jc w:val="both"/>
        <w:rPr>
          <w:sz w:val="28"/>
          <w:szCs w:val="28"/>
        </w:rPr>
      </w:pPr>
    </w:p>
    <w:p w:rsidR="00EC1C99" w:rsidRPr="0008741E"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p>
    <w:p w:rsidR="00EC1C99" w:rsidRPr="008D59B7"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r w:rsidRPr="008D59B7">
        <w:rPr>
          <w:sz w:val="28"/>
          <w:szCs w:val="28"/>
        </w:rPr>
        <w:t xml:space="preserve">Il </w:t>
      </w:r>
      <w:r w:rsidRPr="008D59B7">
        <w:rPr>
          <w:sz w:val="28"/>
          <w:szCs w:val="28"/>
          <w:highlight w:val="yellow"/>
        </w:rPr>
        <w:t>Consiglio, di comune accordo con il presidente eletto, adotta l'elenco delle altre personalità</w:t>
      </w:r>
      <w:r w:rsidRPr="008D59B7">
        <w:rPr>
          <w:sz w:val="28"/>
          <w:szCs w:val="28"/>
        </w:rPr>
        <w:t xml:space="preserve"> che propone di nominare membri della Commissione. Dette personalità sono selezionate in base alle </w:t>
      </w:r>
      <w:r w:rsidRPr="008D59B7">
        <w:rPr>
          <w:sz w:val="28"/>
          <w:szCs w:val="28"/>
          <w:highlight w:val="yellow"/>
        </w:rPr>
        <w:t>proposte presentate dagli Stati membri</w:t>
      </w:r>
      <w:r w:rsidRPr="008D59B7">
        <w:rPr>
          <w:sz w:val="28"/>
          <w:szCs w:val="28"/>
        </w:rPr>
        <w:t xml:space="preserve">, conformemente ai </w:t>
      </w:r>
      <w:r w:rsidRPr="008D59B7">
        <w:rPr>
          <w:sz w:val="28"/>
          <w:szCs w:val="28"/>
          <w:highlight w:val="yellow"/>
        </w:rPr>
        <w:t>criteri</w:t>
      </w:r>
      <w:r w:rsidRPr="008D59B7">
        <w:rPr>
          <w:sz w:val="28"/>
          <w:szCs w:val="28"/>
        </w:rPr>
        <w:t xml:space="preserve"> di cui al par. 3, secondo comma e al par. 5, secondo comma [competenza, impegno europeo, garanzie di indipendenza].</w:t>
      </w:r>
    </w:p>
    <w:p w:rsidR="00EC1C99" w:rsidRPr="008D59B7"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r w:rsidRPr="008D59B7">
        <w:rPr>
          <w:sz w:val="28"/>
          <w:szCs w:val="28"/>
        </w:rPr>
        <w:t xml:space="preserve">Il presidente, l'alto rappresentante dell'Unione per gli affari esteri e la politica di sicurezza e gli altri membri della Commissione sono soggetti, </w:t>
      </w:r>
      <w:r w:rsidRPr="008D59B7">
        <w:rPr>
          <w:sz w:val="28"/>
          <w:szCs w:val="28"/>
          <w:highlight w:val="yellow"/>
        </w:rPr>
        <w:t>collettivamente</w:t>
      </w:r>
      <w:r w:rsidRPr="008D59B7">
        <w:rPr>
          <w:sz w:val="28"/>
          <w:szCs w:val="28"/>
        </w:rPr>
        <w:t xml:space="preserve">, ad un </w:t>
      </w:r>
      <w:r w:rsidRPr="008D59B7">
        <w:rPr>
          <w:sz w:val="28"/>
          <w:szCs w:val="28"/>
          <w:highlight w:val="yellow"/>
        </w:rPr>
        <w:t>voto di approvazione del Parlamento europeo</w:t>
      </w:r>
      <w:r w:rsidRPr="008D59B7">
        <w:rPr>
          <w:sz w:val="28"/>
          <w:szCs w:val="28"/>
        </w:rPr>
        <w:t xml:space="preserve">. In seguito a tale approvazione la Commissione è </w:t>
      </w:r>
      <w:r w:rsidRPr="008D59B7">
        <w:rPr>
          <w:sz w:val="28"/>
          <w:szCs w:val="28"/>
          <w:highlight w:val="yellow"/>
        </w:rPr>
        <w:t>nominata dal Consiglio europeo</w:t>
      </w:r>
      <w:r w:rsidRPr="008D59B7">
        <w:rPr>
          <w:sz w:val="28"/>
          <w:szCs w:val="28"/>
        </w:rPr>
        <w:t xml:space="preserve">, che delibera </w:t>
      </w:r>
      <w:r w:rsidRPr="008D59B7">
        <w:rPr>
          <w:sz w:val="28"/>
          <w:szCs w:val="28"/>
          <w:highlight w:val="yellow"/>
        </w:rPr>
        <w:t>a maggioranza qualificata</w:t>
      </w:r>
      <w:r w:rsidRPr="008D59B7">
        <w:rPr>
          <w:sz w:val="28"/>
          <w:szCs w:val="28"/>
        </w:rPr>
        <w:t>.</w:t>
      </w:r>
    </w:p>
    <w:p w:rsidR="00EC1C99"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p>
    <w:p w:rsidR="00EC1C99" w:rsidRPr="009C16EB"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b/>
          <w:sz w:val="28"/>
          <w:szCs w:val="28"/>
        </w:rPr>
      </w:pPr>
      <w:r w:rsidRPr="009C16EB">
        <w:rPr>
          <w:b/>
          <w:sz w:val="28"/>
          <w:szCs w:val="28"/>
        </w:rPr>
        <w:t>Art. 17 TUE</w:t>
      </w:r>
    </w:p>
    <w:p w:rsidR="00EC1C99" w:rsidRPr="009C16EB"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b/>
          <w:sz w:val="28"/>
          <w:szCs w:val="28"/>
        </w:rPr>
      </w:pPr>
    </w:p>
    <w:p w:rsidR="00EC1C99" w:rsidRPr="008D59B7"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i/>
          <w:iCs/>
          <w:sz w:val="28"/>
          <w:szCs w:val="28"/>
          <w:highlight w:val="green"/>
        </w:rPr>
      </w:pPr>
      <w:r w:rsidRPr="008D59B7">
        <w:rPr>
          <w:sz w:val="28"/>
          <w:szCs w:val="28"/>
        </w:rPr>
        <w:t xml:space="preserve">8. La Commissione è </w:t>
      </w:r>
      <w:r w:rsidRPr="008D59B7">
        <w:rPr>
          <w:sz w:val="28"/>
          <w:szCs w:val="28"/>
          <w:highlight w:val="yellow"/>
        </w:rPr>
        <w:t>responsabile collettivamente dinanzi al Parlamento</w:t>
      </w:r>
      <w:r w:rsidRPr="008D59B7">
        <w:rPr>
          <w:sz w:val="28"/>
          <w:szCs w:val="28"/>
        </w:rPr>
        <w:t xml:space="preserve"> europeo. </w:t>
      </w:r>
      <w:r w:rsidRPr="00B52620">
        <w:rPr>
          <w:sz w:val="28"/>
          <w:szCs w:val="28"/>
          <w:highlight w:val="yellow"/>
        </w:rPr>
        <w:t>Il Parlamento europeo può votare una</w:t>
      </w:r>
      <w:r w:rsidRPr="008D59B7">
        <w:rPr>
          <w:sz w:val="28"/>
          <w:szCs w:val="28"/>
        </w:rPr>
        <w:t xml:space="preserve"> </w:t>
      </w:r>
      <w:r w:rsidRPr="008D59B7">
        <w:rPr>
          <w:sz w:val="28"/>
          <w:szCs w:val="28"/>
          <w:highlight w:val="yellow"/>
        </w:rPr>
        <w:t>mozione di censura</w:t>
      </w:r>
      <w:r w:rsidRPr="008D59B7">
        <w:rPr>
          <w:sz w:val="28"/>
          <w:szCs w:val="28"/>
        </w:rPr>
        <w:t xml:space="preserve"> della Commissione secondo le modalità di cui all'art. 234 del TFUE. Se tale mozione è adottata, i membri della Commissione si </w:t>
      </w:r>
      <w:r w:rsidRPr="008D59B7">
        <w:rPr>
          <w:sz w:val="28"/>
          <w:szCs w:val="28"/>
          <w:highlight w:val="yellow"/>
        </w:rPr>
        <w:t>dimettono collettivamente</w:t>
      </w:r>
      <w:r w:rsidRPr="008D59B7">
        <w:rPr>
          <w:sz w:val="28"/>
          <w:szCs w:val="28"/>
        </w:rPr>
        <w:t xml:space="preserve"> dalle loro funzioni e l'alto rappresentante dell'Unione per gli affari esteri e la politica di sicurezza si dimette dalle funzioni che esercita in seno alla Commissione. </w:t>
      </w:r>
      <w:r w:rsidRPr="008D59B7">
        <w:rPr>
          <w:i/>
          <w:sz w:val="28"/>
          <w:szCs w:val="28"/>
          <w:highlight w:val="yellow"/>
        </w:rPr>
        <w:sym w:font="Wingdings" w:char="F0E8"/>
      </w:r>
      <w:r w:rsidRPr="008D59B7">
        <w:rPr>
          <w:i/>
          <w:sz w:val="28"/>
          <w:szCs w:val="28"/>
          <w:highlight w:val="yellow"/>
        </w:rPr>
        <w:t xml:space="preserve"> 234 TFUE</w:t>
      </w:r>
    </w:p>
    <w:p w:rsidR="00EC1C99" w:rsidRPr="008D59B7" w:rsidRDefault="00EC1C99" w:rsidP="00EC1C99">
      <w:pPr>
        <w:autoSpaceDE w:val="0"/>
        <w:autoSpaceDN w:val="0"/>
        <w:adjustRightInd w:val="0"/>
        <w:ind w:firstLine="180"/>
        <w:jc w:val="center"/>
        <w:rPr>
          <w:i/>
          <w:iCs/>
          <w:sz w:val="28"/>
          <w:szCs w:val="28"/>
          <w:highlight w:val="green"/>
        </w:rPr>
      </w:pPr>
    </w:p>
    <w:p w:rsidR="00EC1C99" w:rsidRDefault="00EC1C99" w:rsidP="00EC1C99">
      <w:pPr>
        <w:autoSpaceDE w:val="0"/>
        <w:autoSpaceDN w:val="0"/>
        <w:adjustRightInd w:val="0"/>
        <w:ind w:firstLine="180"/>
        <w:jc w:val="both"/>
        <w:rPr>
          <w:b/>
          <w:color w:val="FF0000"/>
          <w:sz w:val="28"/>
          <w:szCs w:val="28"/>
        </w:rPr>
      </w:pPr>
    </w:p>
    <w:p w:rsidR="00EC1C99" w:rsidRPr="00EC1C99" w:rsidRDefault="00EC1C99" w:rsidP="00EC1C99">
      <w:pPr>
        <w:pBdr>
          <w:top w:val="single" w:sz="4" w:space="1" w:color="auto"/>
          <w:left w:val="single" w:sz="4" w:space="4" w:color="auto"/>
          <w:bottom w:val="single" w:sz="4" w:space="1" w:color="auto"/>
          <w:right w:val="single" w:sz="4" w:space="4" w:color="auto"/>
        </w:pBdr>
        <w:ind w:firstLine="360"/>
        <w:jc w:val="both"/>
        <w:rPr>
          <w:rFonts w:ascii="simoncini garamond" w:hAnsi="simoncini garamond"/>
          <w:i/>
          <w:iCs/>
          <w:sz w:val="28"/>
          <w:szCs w:val="28"/>
        </w:rPr>
      </w:pPr>
      <w:r w:rsidRPr="00EC1C99">
        <w:rPr>
          <w:rFonts w:ascii="simoncini garamond" w:hAnsi="simoncini garamond"/>
          <w:b/>
          <w:bCs/>
          <w:sz w:val="28"/>
          <w:szCs w:val="28"/>
        </w:rPr>
        <w:t>Articolo 234</w:t>
      </w:r>
      <w:r w:rsidRPr="00EC1C99">
        <w:rPr>
          <w:rFonts w:ascii="simoncini garamond" w:hAnsi="simoncini garamond"/>
          <w:i/>
          <w:iCs/>
          <w:sz w:val="28"/>
          <w:szCs w:val="28"/>
        </w:rPr>
        <w:t xml:space="preserve"> (già art. 201 TCE)</w:t>
      </w:r>
    </w:p>
    <w:p w:rsidR="00EC1C99" w:rsidRPr="00EC1C99" w:rsidRDefault="00EC1C99" w:rsidP="00EC1C99">
      <w:pPr>
        <w:pStyle w:val="Corpotesto"/>
        <w:pBdr>
          <w:top w:val="single" w:sz="4" w:space="1" w:color="auto"/>
          <w:left w:val="single" w:sz="4" w:space="4" w:color="auto"/>
          <w:bottom w:val="single" w:sz="4" w:space="1" w:color="auto"/>
          <w:right w:val="single" w:sz="4" w:space="4" w:color="auto"/>
        </w:pBdr>
        <w:ind w:firstLine="360"/>
        <w:jc w:val="both"/>
        <w:rPr>
          <w:rFonts w:ascii="simoncini garamond" w:hAnsi="simoncini garamond"/>
          <w:sz w:val="28"/>
          <w:szCs w:val="28"/>
        </w:rPr>
      </w:pPr>
      <w:r w:rsidRPr="00EC1C99">
        <w:rPr>
          <w:rFonts w:ascii="simoncini garamond" w:hAnsi="simoncini garamond"/>
          <w:sz w:val="28"/>
          <w:szCs w:val="28"/>
        </w:rPr>
        <w:t xml:space="preserve">Il Parlamento europeo, cui sia presentata una </w:t>
      </w:r>
      <w:r w:rsidRPr="00EC1C99">
        <w:rPr>
          <w:rFonts w:ascii="simoncini garamond" w:hAnsi="simoncini garamond"/>
          <w:sz w:val="28"/>
          <w:szCs w:val="28"/>
          <w:highlight w:val="yellow"/>
        </w:rPr>
        <w:t>mozione di censura</w:t>
      </w:r>
      <w:r w:rsidRPr="00EC1C99">
        <w:rPr>
          <w:rFonts w:ascii="simoncini garamond" w:hAnsi="simoncini garamond"/>
          <w:sz w:val="28"/>
          <w:szCs w:val="28"/>
        </w:rPr>
        <w:t xml:space="preserve"> sull'operato della Commissione, non può pronunciarsi su tale mozione prima che siano trascorsi </w:t>
      </w:r>
      <w:r w:rsidRPr="00EC1C99">
        <w:rPr>
          <w:rFonts w:ascii="simoncini garamond" w:hAnsi="simoncini garamond"/>
          <w:sz w:val="28"/>
          <w:szCs w:val="28"/>
          <w:highlight w:val="yellow"/>
        </w:rPr>
        <w:t>almeno tre giorni</w:t>
      </w:r>
      <w:r w:rsidRPr="00EC1C99">
        <w:rPr>
          <w:rFonts w:ascii="simoncini garamond" w:hAnsi="simoncini garamond"/>
          <w:sz w:val="28"/>
          <w:szCs w:val="28"/>
        </w:rPr>
        <w:t xml:space="preserve"> dal suo deposito e con scrutinio pubblico. </w:t>
      </w:r>
    </w:p>
    <w:p w:rsidR="00EC1C99" w:rsidRPr="00EC1C99"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highlight w:val="cyan"/>
        </w:rPr>
      </w:pPr>
      <w:r w:rsidRPr="00EC1C99">
        <w:rPr>
          <w:rFonts w:ascii="simoncini garamond" w:hAnsi="simoncini garamond"/>
          <w:sz w:val="28"/>
          <w:szCs w:val="28"/>
        </w:rPr>
        <w:t xml:space="preserve">Se la mozione di censura è </w:t>
      </w:r>
      <w:r w:rsidRPr="00EC1C99">
        <w:rPr>
          <w:rFonts w:ascii="simoncini garamond" w:hAnsi="simoncini garamond"/>
          <w:sz w:val="28"/>
          <w:szCs w:val="28"/>
          <w:highlight w:val="yellow"/>
        </w:rPr>
        <w:t>approvata a maggioranza di due terzi dei voti espressi e a maggioranza dei membri che compongono il Parlamento</w:t>
      </w:r>
      <w:r w:rsidRPr="00EC1C99">
        <w:rPr>
          <w:rFonts w:ascii="simoncini garamond" w:hAnsi="simoncini garamond"/>
          <w:sz w:val="28"/>
          <w:szCs w:val="28"/>
        </w:rPr>
        <w:t xml:space="preserve"> europeo, i membri della Commissione si </w:t>
      </w:r>
      <w:r w:rsidRPr="00EC1C99">
        <w:rPr>
          <w:rFonts w:ascii="simoncini garamond" w:hAnsi="simoncini garamond"/>
          <w:sz w:val="28"/>
          <w:szCs w:val="28"/>
          <w:highlight w:val="yellow"/>
        </w:rPr>
        <w:t>dimettono collettivamente</w:t>
      </w:r>
      <w:r w:rsidRPr="00EC1C99">
        <w:rPr>
          <w:rFonts w:ascii="simoncini garamond" w:hAnsi="simoncini garamond"/>
          <w:sz w:val="28"/>
          <w:szCs w:val="28"/>
        </w:rPr>
        <w:t xml:space="preserve"> dalle loro funzioni e l'alto rappresentante dell'Unione per gli affari esteri e la politica di sicurezza si dimette dalle funzioni che esercita in seno alla Commissione. Essi rimangono in carica e continuano a curare gli affari di </w:t>
      </w:r>
      <w:r w:rsidRPr="00EC1C99">
        <w:rPr>
          <w:rFonts w:ascii="simoncini garamond" w:hAnsi="simoncini garamond"/>
          <w:sz w:val="28"/>
          <w:szCs w:val="28"/>
          <w:highlight w:val="yellow"/>
        </w:rPr>
        <w:t>ordinaria amministrazione</w:t>
      </w:r>
      <w:r w:rsidRPr="00EC1C99">
        <w:rPr>
          <w:rFonts w:ascii="simoncini garamond" w:hAnsi="simoncini garamond"/>
          <w:sz w:val="28"/>
          <w:szCs w:val="28"/>
        </w:rPr>
        <w:t xml:space="preserve"> fino alla loro sostituzione conformemente all'art. 17 del TUE. In questo caso, il mandato dei membri della Commissione nominati per sostituirli scade alla data in cui sarebbe scaduto il mandato dei membri della Commissione costretti a dimettersi collettivamente dalle loro funzioni.</w:t>
      </w:r>
    </w:p>
    <w:p w:rsidR="00EC1C99" w:rsidRDefault="00EC1C99" w:rsidP="00EC1C99">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sz w:val="28"/>
          <w:szCs w:val="28"/>
        </w:rPr>
      </w:pPr>
    </w:p>
    <w:p w:rsidR="00EC1C99" w:rsidRDefault="00EC1C99" w:rsidP="00EC1C99">
      <w:pPr>
        <w:autoSpaceDE w:val="0"/>
        <w:autoSpaceDN w:val="0"/>
        <w:adjustRightInd w:val="0"/>
        <w:ind w:firstLine="180"/>
        <w:jc w:val="both"/>
        <w:rPr>
          <w:b/>
          <w:color w:val="FF0000"/>
          <w:sz w:val="28"/>
          <w:szCs w:val="28"/>
        </w:rPr>
      </w:pPr>
    </w:p>
    <w:p w:rsidR="001141E3" w:rsidRDefault="00EC1C99"/>
    <w:sectPr w:rsidR="001141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oncini garamon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63E67"/>
    <w:multiLevelType w:val="hybridMultilevel"/>
    <w:tmpl w:val="8B56ED96"/>
    <w:lvl w:ilvl="0" w:tplc="94E0EC6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99"/>
    <w:rsid w:val="001B32D3"/>
    <w:rsid w:val="005C435F"/>
    <w:rsid w:val="00EC1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Connettore 4 2"/>
      </o:rules>
    </o:shapelayout>
  </w:shapeDefaults>
  <w:decimalSymbol w:val=","/>
  <w:listSeparator w:val=";"/>
  <w15:chartTrackingRefBased/>
  <w15:docId w15:val="{3E3A6059-1BE5-4BB7-942C-96D96ACF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1C99"/>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qFormat/>
    <w:rsid w:val="00EC1C99"/>
    <w:pPr>
      <w:keepNext/>
      <w:spacing w:before="240" w:after="60"/>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C1C99"/>
    <w:rPr>
      <w:rFonts w:ascii="Cambria" w:eastAsia="Times New Roman" w:hAnsi="Cambria" w:cs="Times New Roman"/>
      <w:b/>
      <w:bCs/>
      <w:sz w:val="26"/>
      <w:szCs w:val="26"/>
      <w:lang w:val="x-none" w:eastAsia="x-none"/>
    </w:rPr>
  </w:style>
  <w:style w:type="paragraph" w:styleId="Rientrocorpodeltesto3">
    <w:name w:val="Body Text Indent 3"/>
    <w:basedOn w:val="Normale"/>
    <w:link w:val="Rientrocorpodeltesto3Carattere"/>
    <w:semiHidden/>
    <w:rsid w:val="00EC1C99"/>
    <w:pPr>
      <w:ind w:left="284" w:firstLine="424"/>
      <w:jc w:val="both"/>
    </w:pPr>
    <w:rPr>
      <w:szCs w:val="24"/>
    </w:rPr>
  </w:style>
  <w:style w:type="character" w:customStyle="1" w:styleId="Rientrocorpodeltesto3Carattere">
    <w:name w:val="Rientro corpo del testo 3 Carattere"/>
    <w:basedOn w:val="Carpredefinitoparagrafo"/>
    <w:link w:val="Rientrocorpodeltesto3"/>
    <w:semiHidden/>
    <w:rsid w:val="00EC1C99"/>
    <w:rPr>
      <w:rFonts w:ascii="Times New Roman" w:eastAsia="Times New Roman" w:hAnsi="Times New Roman" w:cs="Times New Roman"/>
      <w:sz w:val="20"/>
      <w:szCs w:val="24"/>
      <w:lang w:eastAsia="it-IT"/>
    </w:rPr>
  </w:style>
  <w:style w:type="paragraph" w:styleId="Corpotesto">
    <w:name w:val="Body Text"/>
    <w:basedOn w:val="Normale"/>
    <w:link w:val="CorpotestoCarattere"/>
    <w:uiPriority w:val="99"/>
    <w:semiHidden/>
    <w:unhideWhenUsed/>
    <w:rsid w:val="00EC1C99"/>
    <w:pPr>
      <w:spacing w:after="120"/>
    </w:pPr>
  </w:style>
  <w:style w:type="character" w:customStyle="1" w:styleId="CorpotestoCarattere">
    <w:name w:val="Corpo testo Carattere"/>
    <w:basedOn w:val="Carpredefinitoparagrafo"/>
    <w:link w:val="Corpotesto"/>
    <w:uiPriority w:val="99"/>
    <w:semiHidden/>
    <w:rsid w:val="00EC1C9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adinolfi</dc:creator>
  <cp:keywords/>
  <dc:description/>
  <cp:lastModifiedBy>adinolfi</cp:lastModifiedBy>
  <cp:revision>1</cp:revision>
  <dcterms:created xsi:type="dcterms:W3CDTF">2018-11-15T19:55:00Z</dcterms:created>
  <dcterms:modified xsi:type="dcterms:W3CDTF">2018-11-15T19:57:00Z</dcterms:modified>
</cp:coreProperties>
</file>