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EFB70" w14:textId="7F2114C2" w:rsidR="006B730C" w:rsidRDefault="006B730C" w:rsidP="00AD5A4F">
      <w:pPr>
        <w:spacing w:line="276" w:lineRule="auto"/>
        <w:jc w:val="both"/>
        <w:rPr>
          <w:b/>
        </w:rPr>
      </w:pPr>
      <w:bookmarkStart w:id="0" w:name="_GoBack"/>
      <w:bookmarkEnd w:id="0"/>
      <w:r w:rsidRPr="00C249CC">
        <w:rPr>
          <w:b/>
        </w:rPr>
        <w:t>Dottorando: Carlo Terzaroli – XXXI Ciclo</w:t>
      </w:r>
    </w:p>
    <w:p w14:paraId="12E70859" w14:textId="4437F734" w:rsidR="004D79D1" w:rsidRDefault="004D79D1" w:rsidP="00AD5A4F">
      <w:pPr>
        <w:spacing w:line="276" w:lineRule="auto"/>
        <w:jc w:val="both"/>
        <w:rPr>
          <w:b/>
        </w:rPr>
      </w:pPr>
      <w:r>
        <w:rPr>
          <w:b/>
        </w:rPr>
        <w:t>Tutor supervisore: Prof.ssa Vanna Boffo</w:t>
      </w:r>
    </w:p>
    <w:p w14:paraId="4FFA52AF" w14:textId="77777777" w:rsidR="00C249CC" w:rsidRPr="00C249CC" w:rsidRDefault="00C249CC" w:rsidP="00AD5A4F">
      <w:pPr>
        <w:spacing w:line="276" w:lineRule="auto"/>
        <w:jc w:val="both"/>
        <w:rPr>
          <w:b/>
        </w:rPr>
      </w:pPr>
    </w:p>
    <w:p w14:paraId="1EE6C833" w14:textId="0880EE6E" w:rsidR="004D7969" w:rsidRPr="004D7969" w:rsidRDefault="00135164" w:rsidP="00AD5A4F">
      <w:pPr>
        <w:spacing w:line="276" w:lineRule="auto"/>
        <w:jc w:val="both"/>
      </w:pPr>
      <w:r>
        <w:t>Titolo del v</w:t>
      </w:r>
      <w:r w:rsidR="00020199">
        <w:t>olume: Nussbaum, M.</w:t>
      </w:r>
      <w:r w:rsidR="004D7969">
        <w:t>C.</w:t>
      </w:r>
      <w:r w:rsidR="00020199">
        <w:t>,</w:t>
      </w:r>
      <w:r w:rsidR="004D7969">
        <w:t xml:space="preserve"> </w:t>
      </w:r>
      <w:r w:rsidR="004D7969">
        <w:rPr>
          <w:i/>
        </w:rPr>
        <w:t>Creare capacità. Liberarsi dalla dittatura del Pil</w:t>
      </w:r>
      <w:r w:rsidR="00020199">
        <w:t>, Milano, Il Mulino, 2012.</w:t>
      </w:r>
    </w:p>
    <w:p w14:paraId="65AD7B63" w14:textId="77777777" w:rsidR="00E60DAB" w:rsidRDefault="00E60DAB" w:rsidP="00AD5A4F">
      <w:pPr>
        <w:spacing w:line="276" w:lineRule="auto"/>
        <w:jc w:val="both"/>
      </w:pPr>
    </w:p>
    <w:p w14:paraId="2F7D11C8" w14:textId="72B4550B" w:rsidR="00A55C0E" w:rsidRDefault="00884BA9" w:rsidP="00A10363">
      <w:pPr>
        <w:spacing w:line="276" w:lineRule="auto"/>
        <w:ind w:firstLine="426"/>
        <w:jc w:val="both"/>
      </w:pPr>
      <w:r>
        <w:t xml:space="preserve">La sistematicità del </w:t>
      </w:r>
      <w:r w:rsidR="001847AD">
        <w:t>lavoro</w:t>
      </w:r>
      <w:r>
        <w:t xml:space="preserve"> di Martha Nussbaum rappresenta il punto di arrivo di un dibattito</w:t>
      </w:r>
      <w:r w:rsidR="000018E9">
        <w:t xml:space="preserve"> ricco e</w:t>
      </w:r>
      <w:r w:rsidR="002A323A">
        <w:t xml:space="preserve"> articolato</w:t>
      </w:r>
      <w:r>
        <w:t xml:space="preserve"> intorno all’</w:t>
      </w:r>
      <w:r w:rsidR="000018E9">
        <w:t>approccio delle capacità</w:t>
      </w:r>
      <w:r>
        <w:t xml:space="preserve">. </w:t>
      </w:r>
      <w:r w:rsidR="001847AD">
        <w:t>Il volume, pubblicato in Italia nel 2012</w:t>
      </w:r>
      <w:r w:rsidR="00020199">
        <w:rPr>
          <w:rStyle w:val="Rimandonotaapidipagina"/>
        </w:rPr>
        <w:footnoteReference w:id="1"/>
      </w:r>
      <w:r w:rsidR="00E34EE1">
        <w:t>,</w:t>
      </w:r>
      <w:r w:rsidR="00020199">
        <w:t xml:space="preserve"> </w:t>
      </w:r>
      <w:r w:rsidR="002A323A">
        <w:t>si propone di</w:t>
      </w:r>
      <w:r w:rsidR="000018E9">
        <w:t xml:space="preserve"> inquadrare il </w:t>
      </w:r>
      <w:r w:rsidR="00D43820">
        <w:t>modello</w:t>
      </w:r>
      <w:r w:rsidR="002A323A">
        <w:t xml:space="preserve"> dello sviluppo umano con uno specifico sguardo a</w:t>
      </w:r>
      <w:r w:rsidR="000018E9">
        <w:t xml:space="preserve">lla sua articolazione concreta </w:t>
      </w:r>
      <w:r w:rsidR="002A323A">
        <w:t>n</w:t>
      </w:r>
      <w:r w:rsidR="000018E9">
        <w:t>elle vit</w:t>
      </w:r>
      <w:r w:rsidR="00020199">
        <w:t>e delle persone. Il paradigma</w:t>
      </w:r>
      <w:r w:rsidR="001847AD">
        <w:t xml:space="preserve"> intende </w:t>
      </w:r>
      <w:r w:rsidR="002A323A">
        <w:t>s</w:t>
      </w:r>
      <w:r w:rsidR="001847AD">
        <w:t xml:space="preserve">ottolineare, </w:t>
      </w:r>
      <w:r w:rsidR="00020199">
        <w:t xml:space="preserve">con uno sguardo rivolto ai decisori, </w:t>
      </w:r>
      <w:r w:rsidR="000018E9">
        <w:t xml:space="preserve">il valore </w:t>
      </w:r>
      <w:r w:rsidR="008B559C">
        <w:t xml:space="preserve">dell’umanità </w:t>
      </w:r>
      <w:r w:rsidR="00A55C0E">
        <w:t>come fine</w:t>
      </w:r>
      <w:r w:rsidR="000018E9">
        <w:t xml:space="preserve"> in sé</w:t>
      </w:r>
      <w:r w:rsidR="005E22E8">
        <w:rPr>
          <w:rStyle w:val="Rimandonotaapidipagina"/>
        </w:rPr>
        <w:footnoteReference w:id="2"/>
      </w:r>
      <w:r w:rsidR="005E22E8">
        <w:t xml:space="preserve"> </w:t>
      </w:r>
      <w:r w:rsidR="001847AD">
        <w:t>dell’</w:t>
      </w:r>
      <w:r w:rsidR="00020199">
        <w:t xml:space="preserve">intera </w:t>
      </w:r>
      <w:r w:rsidR="001847AD">
        <w:t>azione politica ed economica</w:t>
      </w:r>
      <w:r w:rsidR="000018E9">
        <w:t>. È</w:t>
      </w:r>
      <w:r w:rsidR="002A323A">
        <w:t xml:space="preserve"> in quest’ottica</w:t>
      </w:r>
      <w:r w:rsidR="000018E9">
        <w:t xml:space="preserve"> che il sottotitolo all’edizione italiana </w:t>
      </w:r>
      <w:r w:rsidR="000018E9">
        <w:rPr>
          <w:i/>
        </w:rPr>
        <w:t xml:space="preserve">Liberarsi dalla dittatura del PIL </w:t>
      </w:r>
      <w:r w:rsidR="002A323A">
        <w:t>posiziona l’approccio delle capacità come contro-teoria</w:t>
      </w:r>
      <w:r w:rsidR="000018E9">
        <w:t xml:space="preserve"> </w:t>
      </w:r>
      <w:r w:rsidR="00D43820">
        <w:t>rispetto ai</w:t>
      </w:r>
      <w:r w:rsidR="000018E9">
        <w:t xml:space="preserve"> modelli </w:t>
      </w:r>
      <w:r w:rsidR="00020199">
        <w:t xml:space="preserve">economici </w:t>
      </w:r>
      <w:r w:rsidR="00D43820">
        <w:t>attual</w:t>
      </w:r>
      <w:r w:rsidR="000018E9">
        <w:t>i.</w:t>
      </w:r>
      <w:r w:rsidR="00A55C0E">
        <w:t xml:space="preserve"> Il lavoro di Nussbaum intende</w:t>
      </w:r>
      <w:r w:rsidR="00020199">
        <w:t>, infatti,</w:t>
      </w:r>
      <w:r w:rsidR="00A55C0E">
        <w:t xml:space="preserve"> mettere a sistema i diversi contributi </w:t>
      </w:r>
      <w:r w:rsidR="008B559C">
        <w:t>fioriti all’interno del</w:t>
      </w:r>
      <w:r w:rsidR="00D43820">
        <w:t>la</w:t>
      </w:r>
      <w:r w:rsidR="008B559C">
        <w:t xml:space="preserve"> </w:t>
      </w:r>
      <w:r w:rsidR="00D43820">
        <w:rPr>
          <w:i/>
        </w:rPr>
        <w:t>Human Development and Capability Association</w:t>
      </w:r>
      <w:r w:rsidR="00020199">
        <w:t xml:space="preserve"> </w:t>
      </w:r>
      <w:r w:rsidR="008B559C">
        <w:t>(</w:t>
      </w:r>
      <w:r w:rsidR="00020199">
        <w:t xml:space="preserve">si veda -su tutti- il contributo di </w:t>
      </w:r>
      <w:r w:rsidR="008B559C">
        <w:t>Amartya Sen)</w:t>
      </w:r>
      <w:r w:rsidR="00D43820">
        <w:t>: l’intento è quello di darne</w:t>
      </w:r>
      <w:r w:rsidR="008B559C">
        <w:t xml:space="preserve"> legittimità attraverso una </w:t>
      </w:r>
      <w:r w:rsidR="0090350F">
        <w:t xml:space="preserve">rigorosa </w:t>
      </w:r>
      <w:r w:rsidR="00A55C0E">
        <w:t>giustificazione filosofica</w:t>
      </w:r>
      <w:r w:rsidR="00A66BC5">
        <w:t xml:space="preserve"> a supporto di processi politici di tipo democratico.</w:t>
      </w:r>
    </w:p>
    <w:p w14:paraId="6E7B202E" w14:textId="645DB440" w:rsidR="00125F40" w:rsidRDefault="008B559C" w:rsidP="00F125A9">
      <w:pPr>
        <w:spacing w:line="276" w:lineRule="auto"/>
        <w:ind w:firstLine="426"/>
        <w:jc w:val="both"/>
      </w:pPr>
      <w:r>
        <w:t>Proprio le radici filosofiche edif</w:t>
      </w:r>
      <w:r w:rsidR="00F125A9">
        <w:t xml:space="preserve">icano le fondamenta di tutta l’articolazione del pensiero di Nussbaum </w:t>
      </w:r>
      <w:r>
        <w:t xml:space="preserve">sul </w:t>
      </w:r>
      <w:r w:rsidR="00020199">
        <w:t xml:space="preserve">concetto di </w:t>
      </w:r>
      <w:r>
        <w:t xml:space="preserve">capacità. Il contributo della riflessione teorica, </w:t>
      </w:r>
      <w:r w:rsidR="006D6DA0">
        <w:t>introducendo</w:t>
      </w:r>
      <w:r>
        <w:t xml:space="preserve"> in modo organico </w:t>
      </w:r>
      <w:r w:rsidR="00D43820">
        <w:t xml:space="preserve">molteplici contributi </w:t>
      </w:r>
      <w:r w:rsidR="00020199">
        <w:t>in una prospettiva inter-poli-</w:t>
      </w:r>
      <w:r>
        <w:t>trans-discipli</w:t>
      </w:r>
      <w:r w:rsidR="005E22E8">
        <w:t>nare</w:t>
      </w:r>
      <w:r w:rsidR="005E22E8">
        <w:rPr>
          <w:rStyle w:val="Rimandonotaapidipagina"/>
        </w:rPr>
        <w:footnoteReference w:id="3"/>
      </w:r>
      <w:r w:rsidR="005E22E8">
        <w:t xml:space="preserve">, </w:t>
      </w:r>
      <w:r w:rsidR="00D43820">
        <w:t>vuole</w:t>
      </w:r>
      <w:r w:rsidR="00A10363">
        <w:t xml:space="preserve"> incardinare il</w:t>
      </w:r>
      <w:r w:rsidR="00D43820">
        <w:t xml:space="preserve"> pensiero</w:t>
      </w:r>
      <w:r w:rsidR="002E3A47">
        <w:t xml:space="preserve"> </w:t>
      </w:r>
      <w:r w:rsidR="00A10363">
        <w:t>intorno alla</w:t>
      </w:r>
      <w:r w:rsidR="002E3A47">
        <w:t xml:space="preserve"> concretezza delle </w:t>
      </w:r>
      <w:r w:rsidR="00D43820">
        <w:t>esistenze</w:t>
      </w:r>
      <w:r w:rsidR="002E3A47">
        <w:t xml:space="preserve">, con uno sguardo </w:t>
      </w:r>
      <w:r w:rsidR="006D6DA0">
        <w:t>attento</w:t>
      </w:r>
      <w:r w:rsidR="00A10363">
        <w:t xml:space="preserve"> alla propri</w:t>
      </w:r>
      <w:r w:rsidR="002E3A47">
        <w:t>a efficacia come strumento al servizio della politica</w:t>
      </w:r>
      <w:r w:rsidR="00A66BC5">
        <w:t>. Sono densi e profondi i n</w:t>
      </w:r>
      <w:r w:rsidR="00F125A9">
        <w:t>essi con la filosofia classica</w:t>
      </w:r>
      <w:r w:rsidR="00020199">
        <w:t xml:space="preserve"> (Aristotele, gli stoici, Marco Aurelio e Cicerone); corposi</w:t>
      </w:r>
      <w:r w:rsidR="00F125A9">
        <w:t xml:space="preserve"> i radicamenti con la tradizione filosofica moderna</w:t>
      </w:r>
      <w:r w:rsidR="00020199">
        <w:t xml:space="preserve"> occidentale (Kant, Paine, Smith, Stuart-Mill) e orientale (Tagore e Gandhi); cruciale il dialogo </w:t>
      </w:r>
      <w:r w:rsidR="00D43820">
        <w:t>-</w:t>
      </w:r>
      <w:r w:rsidR="00020199">
        <w:t>tuttora aperto</w:t>
      </w:r>
      <w:r w:rsidR="00D43820">
        <w:t>-</w:t>
      </w:r>
      <w:r w:rsidR="00020199">
        <w:t xml:space="preserve"> con l’ope</w:t>
      </w:r>
      <w:r w:rsidR="00125F40">
        <w:t>ra di Rawls</w:t>
      </w:r>
      <w:r w:rsidR="00096BB3">
        <w:rPr>
          <w:rStyle w:val="Rimandonotaapidipagina"/>
        </w:rPr>
        <w:footnoteReference w:id="4"/>
      </w:r>
      <w:r w:rsidR="00125F40">
        <w:t xml:space="preserve"> e dello stesso Sen</w:t>
      </w:r>
      <w:r w:rsidR="00096BB3">
        <w:rPr>
          <w:rStyle w:val="Rimandonotaapidipagina"/>
        </w:rPr>
        <w:footnoteReference w:id="5"/>
      </w:r>
      <w:r w:rsidR="00125F40">
        <w:t>.</w:t>
      </w:r>
    </w:p>
    <w:p w14:paraId="12C216EA" w14:textId="1AC831FD" w:rsidR="00B62B71" w:rsidRDefault="00020199" w:rsidP="000B159B">
      <w:pPr>
        <w:spacing w:line="276" w:lineRule="auto"/>
        <w:ind w:firstLine="426"/>
        <w:jc w:val="both"/>
      </w:pPr>
      <w:r>
        <w:t xml:space="preserve">Su ispirazione dell’approccio filosofico </w:t>
      </w:r>
      <w:r>
        <w:rPr>
          <w:i/>
        </w:rPr>
        <w:t xml:space="preserve">tout court </w:t>
      </w:r>
      <w:r>
        <w:t xml:space="preserve">di Nussbaum, il modello ha generato una feconda elaborazione </w:t>
      </w:r>
      <w:r w:rsidR="00D43820">
        <w:t xml:space="preserve">anche </w:t>
      </w:r>
      <w:r>
        <w:t>in ambito pedagogico. A partire dal tema dell’educabilità umana e del concetto di sviluppo come processo di formazione dell’uomo, sono molti gli au</w:t>
      </w:r>
      <w:r w:rsidR="00125F40">
        <w:t xml:space="preserve">tori che </w:t>
      </w:r>
      <w:r w:rsidR="00D43820">
        <w:t xml:space="preserve">vi </w:t>
      </w:r>
      <w:r>
        <w:t xml:space="preserve">hanno radicato </w:t>
      </w:r>
      <w:r w:rsidR="00D43820">
        <w:t xml:space="preserve">un’elaborazione </w:t>
      </w:r>
      <w:r w:rsidR="00125F40">
        <w:t xml:space="preserve">propriamente </w:t>
      </w:r>
      <w:r w:rsidR="00D43820">
        <w:t>pedagogica</w:t>
      </w:r>
      <w:r w:rsidR="00125F40">
        <w:t>: la costruzione di benessere, la valorizzazione delle persone, l’implement</w:t>
      </w:r>
      <w:r w:rsidR="000B159B">
        <w:t xml:space="preserve">azione di politiche educative a livello di istruzione formale </w:t>
      </w:r>
      <w:r w:rsidR="00125F40">
        <w:t>(</w:t>
      </w:r>
      <w:r w:rsidR="00D43820">
        <w:t xml:space="preserve">Massimo </w:t>
      </w:r>
      <w:r w:rsidR="00125F40">
        <w:t>Baldacci</w:t>
      </w:r>
      <w:r w:rsidR="00125F40">
        <w:rPr>
          <w:rStyle w:val="Rimandonotaapidipagina"/>
        </w:rPr>
        <w:footnoteReference w:id="6"/>
      </w:r>
      <w:r w:rsidR="00125F40">
        <w:t xml:space="preserve">) e </w:t>
      </w:r>
      <w:r w:rsidR="000B159B">
        <w:t xml:space="preserve">di welfare </w:t>
      </w:r>
      <w:r w:rsidR="00125F40">
        <w:t>(</w:t>
      </w:r>
      <w:r w:rsidR="00D43820">
        <w:t xml:space="preserve">Umberto </w:t>
      </w:r>
      <w:r w:rsidR="000B159B">
        <w:t>Margiotta)</w:t>
      </w:r>
      <w:r w:rsidR="00125F40">
        <w:t xml:space="preserve"> costituiscono in tal senso l’orizzonte cui </w:t>
      </w:r>
      <w:r w:rsidR="00125F40">
        <w:lastRenderedPageBreak/>
        <w:t xml:space="preserve">tende la pedagogia a partire dal costrutto di </w:t>
      </w:r>
      <w:r w:rsidR="00125F40">
        <w:rPr>
          <w:i/>
        </w:rPr>
        <w:t>capacità</w:t>
      </w:r>
      <w:r w:rsidR="00125F40">
        <w:rPr>
          <w:rStyle w:val="Rimandonotaapidipagina"/>
        </w:rPr>
        <w:footnoteReference w:id="7"/>
      </w:r>
      <w:r w:rsidR="00125F40">
        <w:t xml:space="preserve">. Proprio la categoria di </w:t>
      </w:r>
      <w:r w:rsidR="00125F40" w:rsidRPr="00125F40">
        <w:rPr>
          <w:i/>
        </w:rPr>
        <w:t>capacità</w:t>
      </w:r>
      <w:r w:rsidR="00125F40">
        <w:t xml:space="preserve">, infatti, </w:t>
      </w:r>
      <w:r w:rsidR="000B159B">
        <w:t xml:space="preserve">rappresenta il perno centrale dell’intero approccio di Nussbaum. Concetto nuovo, complesso e dalle molteplici sfumature, esso si delinea come il livello più alto della formazione dell’uomo. </w:t>
      </w:r>
      <w:r w:rsidR="00D43820">
        <w:t>Nella cornice di tale costrutto è</w:t>
      </w:r>
      <w:r w:rsidR="000B159B">
        <w:t xml:space="preserve"> possibile pianificare azioni educative di sistema, volte ad insistere sulla costruzione del benessere della persona in tutti i campi della vita. Il percorso del volume v</w:t>
      </w:r>
      <w:r w:rsidR="00A10363">
        <w:t>uole</w:t>
      </w:r>
      <w:r w:rsidR="006D6DA0">
        <w:t xml:space="preserve"> </w:t>
      </w:r>
      <w:r w:rsidR="002E3A47">
        <w:t xml:space="preserve">suggerire ai diversi interpreti </w:t>
      </w:r>
      <w:r w:rsidR="006D6DA0">
        <w:t xml:space="preserve">istituzionali </w:t>
      </w:r>
      <w:r w:rsidR="002E3A47">
        <w:t xml:space="preserve">una valutazione della qualità della vita umana </w:t>
      </w:r>
      <w:r w:rsidR="00A10363">
        <w:t>fon</w:t>
      </w:r>
      <w:r w:rsidR="005E22E8">
        <w:t>data sul</w:t>
      </w:r>
      <w:r w:rsidR="00B62B71">
        <w:t xml:space="preserve"> rispetto della </w:t>
      </w:r>
      <w:r w:rsidR="00B62B71" w:rsidRPr="00B62B71">
        <w:rPr>
          <w:i/>
        </w:rPr>
        <w:t>persona</w:t>
      </w:r>
      <w:r w:rsidR="000B159B">
        <w:rPr>
          <w:rStyle w:val="Rimandonotaapidipagina"/>
        </w:rPr>
        <w:footnoteReference w:id="8"/>
      </w:r>
      <w:r w:rsidR="00B62B71">
        <w:t xml:space="preserve"> </w:t>
      </w:r>
      <w:r w:rsidR="002E3A47">
        <w:t xml:space="preserve">e </w:t>
      </w:r>
      <w:r w:rsidR="000B159B">
        <w:t xml:space="preserve">sul processo di formazione di </w:t>
      </w:r>
      <w:r w:rsidR="00B62B71">
        <w:t>quest’ultima</w:t>
      </w:r>
      <w:r w:rsidR="002E3A47">
        <w:t>.</w:t>
      </w:r>
      <w:r w:rsidR="00A10363">
        <w:t xml:space="preserve"> In questo senso, Nussbaum pone al centro della propria riflessione un </w:t>
      </w:r>
      <w:r w:rsidR="006D6DA0">
        <w:t>interrogativo fondante</w:t>
      </w:r>
      <w:r w:rsidR="000D7D96">
        <w:t>:</w:t>
      </w:r>
      <w:r w:rsidR="00452733">
        <w:t xml:space="preserve"> </w:t>
      </w:r>
      <w:r w:rsidR="00D43820">
        <w:t>«</w:t>
      </w:r>
      <w:r w:rsidR="00A10363">
        <w:t>c</w:t>
      </w:r>
      <w:r w:rsidR="00452733">
        <w:t xml:space="preserve">he cosa può fare o essere </w:t>
      </w:r>
      <w:r w:rsidR="00A10363">
        <w:t>una persona</w:t>
      </w:r>
      <w:r w:rsidR="00452733">
        <w:t>?</w:t>
      </w:r>
      <w:r w:rsidR="00D43820">
        <w:t>»</w:t>
      </w:r>
      <w:r w:rsidR="00D43820">
        <w:rPr>
          <w:rStyle w:val="Rimandonotaapidipagina"/>
        </w:rPr>
        <w:footnoteReference w:id="9"/>
      </w:r>
      <w:r w:rsidR="00D43820">
        <w:t>.</w:t>
      </w:r>
      <w:r w:rsidR="00A10363">
        <w:t xml:space="preserve"> </w:t>
      </w:r>
      <w:r w:rsidR="00B62B71">
        <w:t>Lo sguardo è rivolto non soltanto ai risultati e alle azioni (</w:t>
      </w:r>
      <w:r w:rsidR="00D43820">
        <w:t xml:space="preserve">i cosiddetti </w:t>
      </w:r>
      <w:r w:rsidR="00B62B71">
        <w:t xml:space="preserve">funzionamenti), ma al processo di scelta che rende l’uomo libero e capace di edificare la propria vita secondo desideri, bisogni, aspirazioni. La nozione di </w:t>
      </w:r>
      <w:r w:rsidR="00B62B71">
        <w:rPr>
          <w:i/>
        </w:rPr>
        <w:t>capacità</w:t>
      </w:r>
      <w:r w:rsidR="00B62B71">
        <w:t xml:space="preserve"> è</w:t>
      </w:r>
      <w:r w:rsidR="00D43820">
        <w:t>,</w:t>
      </w:r>
      <w:r w:rsidR="00B62B71">
        <w:t xml:space="preserve"> dunque</w:t>
      </w:r>
      <w:r w:rsidR="00D43820">
        <w:t>,</w:t>
      </w:r>
      <w:r w:rsidR="00B62B71">
        <w:t xml:space="preserve"> un costrutto prezioso per la pedagogia, poiché apre vasti orizzonti di intervento per la definizione di processi formativi all’interno della comunità umana.</w:t>
      </w:r>
    </w:p>
    <w:p w14:paraId="2B477C4B" w14:textId="43AA8389" w:rsidR="00B62B71" w:rsidRDefault="00D43820" w:rsidP="00A71081">
      <w:pPr>
        <w:spacing w:line="276" w:lineRule="auto"/>
        <w:ind w:firstLine="426"/>
        <w:jc w:val="both"/>
      </w:pPr>
      <w:r>
        <w:t>La peculiarità de</w:t>
      </w:r>
      <w:r w:rsidR="00B62B71">
        <w:t xml:space="preserve">l </w:t>
      </w:r>
      <w:r w:rsidR="00AF129F">
        <w:rPr>
          <w:i/>
        </w:rPr>
        <w:t xml:space="preserve">capability approach </w:t>
      </w:r>
      <w:r>
        <w:t>consiste nel porr</w:t>
      </w:r>
      <w:r w:rsidR="00B62B71">
        <w:t xml:space="preserve">e l’attenzione proprio </w:t>
      </w:r>
      <w:r w:rsidR="00AF129F">
        <w:t>sull’uomo</w:t>
      </w:r>
      <w:r w:rsidR="00B62B71">
        <w:t xml:space="preserve"> che </w:t>
      </w:r>
      <w:r w:rsidR="00AF129F">
        <w:t xml:space="preserve">vive e condivide </w:t>
      </w:r>
      <w:r w:rsidR="00B62B71">
        <w:t xml:space="preserve">insieme </w:t>
      </w:r>
      <w:r w:rsidR="00AF129F">
        <w:t xml:space="preserve">agli altri </w:t>
      </w:r>
      <w:r w:rsidR="00B62B71">
        <w:t xml:space="preserve">lo spazio della terra. </w:t>
      </w:r>
      <w:r w:rsidR="00B62B71">
        <w:rPr>
          <w:i/>
        </w:rPr>
        <w:t>Capacità</w:t>
      </w:r>
      <w:r w:rsidR="00B62B71">
        <w:t xml:space="preserve"> non è </w:t>
      </w:r>
      <w:r w:rsidR="00E42DA4">
        <w:t xml:space="preserve">affatto </w:t>
      </w:r>
      <w:r w:rsidR="00B62B71">
        <w:t>una categoria individuale</w:t>
      </w:r>
      <w:r w:rsidR="00E42DA4">
        <w:t>, cucita sul singolo soggetto,</w:t>
      </w:r>
      <w:r w:rsidR="00B62B71">
        <w:t xml:space="preserve"> </w:t>
      </w:r>
      <w:r w:rsidR="00AF129F">
        <w:t xml:space="preserve">ma si apre all’umanità, nella prospettiva di offrire a ciascuno una vita degna di essere vissuta. Tale visione di tipo universale, porta con sè un’idea di cittadinanza globale </w:t>
      </w:r>
      <w:r>
        <w:t xml:space="preserve">già </w:t>
      </w:r>
      <w:r w:rsidR="00AF129F">
        <w:t xml:space="preserve">ben articolata all’interno di </w:t>
      </w:r>
      <w:r w:rsidR="00AF129F">
        <w:rPr>
          <w:i/>
        </w:rPr>
        <w:t>Coltivare l’umanità</w:t>
      </w:r>
      <w:r w:rsidR="00AF129F" w:rsidRPr="00D43820">
        <w:rPr>
          <w:rStyle w:val="Rimandonotaapidipagina"/>
        </w:rPr>
        <w:footnoteReference w:id="10"/>
      </w:r>
      <w:r>
        <w:rPr>
          <w:i/>
        </w:rPr>
        <w:t xml:space="preserve">, </w:t>
      </w:r>
      <w:r w:rsidR="00AF129F">
        <w:t xml:space="preserve">come spunto profondo per un cambiamento </w:t>
      </w:r>
      <w:r>
        <w:t>dell’idea stessa di cittadinanza</w:t>
      </w:r>
      <w:r w:rsidR="00AF129F">
        <w:t>.</w:t>
      </w:r>
      <w:r w:rsidR="00A71081">
        <w:t xml:space="preserve"> È</w:t>
      </w:r>
      <w:r w:rsidR="00B62B71">
        <w:t xml:space="preserve"> la </w:t>
      </w:r>
      <w:r w:rsidR="00A71081">
        <w:t xml:space="preserve">stessa </w:t>
      </w:r>
      <w:r w:rsidR="00B62B71">
        <w:t>storia di Vasanti</w:t>
      </w:r>
      <w:r w:rsidR="00A71081">
        <w:t>, p</w:t>
      </w:r>
      <w:r>
        <w:t>resentata in apertura del libro</w:t>
      </w:r>
      <w:r w:rsidR="00A71081">
        <w:t>, a</w:t>
      </w:r>
      <w:r w:rsidR="00B62B71">
        <w:t xml:space="preserve"> testimonia</w:t>
      </w:r>
      <w:r w:rsidR="00A71081">
        <w:t>re l’intento sistemico e</w:t>
      </w:r>
      <w:r w:rsidR="00B62B71">
        <w:t xml:space="preserve"> l’apertura universale</w:t>
      </w:r>
      <w:r w:rsidR="00A71081">
        <w:t xml:space="preserve"> del paradigma di Nussbaum</w:t>
      </w:r>
      <w:r w:rsidR="00B62B71">
        <w:t>. Vasanti è</w:t>
      </w:r>
      <w:r>
        <w:t xml:space="preserve"> il volto di</w:t>
      </w:r>
      <w:r w:rsidR="00B62B71">
        <w:t xml:space="preserve"> una donna indiana, maltrattata dal marito, obbligata a non avere figli che la p</w:t>
      </w:r>
      <w:r>
        <w:t>ossan</w:t>
      </w:r>
      <w:r w:rsidR="00B62B71">
        <w:t xml:space="preserve">o aiutare e costretta in una condizione di sottomissione </w:t>
      </w:r>
      <w:r w:rsidR="00E42DA4">
        <w:t xml:space="preserve">dalle leggi (implicite ed esplicite) della cultura indiana. L’incontro con la </w:t>
      </w:r>
      <w:r w:rsidR="00E42DA4" w:rsidRPr="00D43820">
        <w:rPr>
          <w:i/>
        </w:rPr>
        <w:t>Self-Employed Women’</w:t>
      </w:r>
      <w:r w:rsidR="00347447" w:rsidRPr="00D43820">
        <w:rPr>
          <w:i/>
        </w:rPr>
        <w:t>s Organization</w:t>
      </w:r>
      <w:r w:rsidR="00347447">
        <w:t xml:space="preserve"> (S</w:t>
      </w:r>
      <w:r w:rsidR="00A71081">
        <w:t>ewa) le ha permesso</w:t>
      </w:r>
      <w:r w:rsidR="00AF129F">
        <w:t xml:space="preserve"> di accedere a programmi di istruzione, microcredito, sanità e assistenza sindacale che trasformano la sua condizione di vita. </w:t>
      </w:r>
      <w:r w:rsidR="00E42DA4">
        <w:t xml:space="preserve"> </w:t>
      </w:r>
      <w:r w:rsidR="00AF129F">
        <w:t xml:space="preserve">La costruzione di capacità, allora, passa da un insieme di azioni specifiche e presupposti </w:t>
      </w:r>
      <w:r w:rsidR="00A71081">
        <w:t xml:space="preserve">strutturali che edificano l’ambiente in cui le persone possano realizzarsi e vivere in una situazione di benessere. </w:t>
      </w:r>
      <w:r w:rsidR="00A71081">
        <w:rPr>
          <w:i/>
        </w:rPr>
        <w:t>Capacità</w:t>
      </w:r>
      <w:r w:rsidR="00A71081">
        <w:t>,</w:t>
      </w:r>
      <w:r w:rsidR="00A71081">
        <w:rPr>
          <w:i/>
        </w:rPr>
        <w:t xml:space="preserve"> </w:t>
      </w:r>
      <w:r w:rsidR="00A71081">
        <w:t>allora, non sign</w:t>
      </w:r>
      <w:r>
        <w:t>ifica soltanto intervenire sul piano</w:t>
      </w:r>
      <w:r w:rsidR="00A71081">
        <w:t xml:space="preserve"> </w:t>
      </w:r>
      <w:r w:rsidR="00A71081">
        <w:rPr>
          <w:i/>
        </w:rPr>
        <w:t>micro</w:t>
      </w:r>
      <w:r w:rsidR="00A71081">
        <w:t xml:space="preserve">, individuale e soggettivo, ma si configura come azione sulle strategie e sulle politiche </w:t>
      </w:r>
      <w:r>
        <w:t>ad un livello</w:t>
      </w:r>
      <w:r w:rsidR="00A71081">
        <w:t xml:space="preserve"> </w:t>
      </w:r>
      <w:r w:rsidR="00A71081">
        <w:rPr>
          <w:i/>
        </w:rPr>
        <w:t>macro</w:t>
      </w:r>
      <w:r w:rsidR="00A71081">
        <w:t>. Il lavoro di Nussbaum ci invita così ad approfondire il concetto in una prospettiva organica e sistemica, di intervento politico e istituzionale che abbia ricadute dirette sul</w:t>
      </w:r>
      <w:r w:rsidR="00505110">
        <w:t>la</w:t>
      </w:r>
      <w:r w:rsidR="00A71081">
        <w:t xml:space="preserve"> </w:t>
      </w:r>
      <w:r w:rsidR="00505110">
        <w:t>qualità della vita delle</w:t>
      </w:r>
      <w:r w:rsidR="00A71081">
        <w:t xml:space="preserve"> persone.</w:t>
      </w:r>
    </w:p>
    <w:p w14:paraId="01CD5CA4" w14:textId="7BC0C399" w:rsidR="00A71081" w:rsidRDefault="00A71081" w:rsidP="00A71081">
      <w:pPr>
        <w:spacing w:line="276" w:lineRule="auto"/>
        <w:ind w:firstLine="426"/>
        <w:jc w:val="both"/>
      </w:pPr>
      <w:r>
        <w:t xml:space="preserve">Punto di congiunzione con la riflessione pedagogica è rappresentato dall’importanza cruciale </w:t>
      </w:r>
      <w:r w:rsidR="00505110">
        <w:t>assegnata al</w:t>
      </w:r>
      <w:r>
        <w:t>l’educazione</w:t>
      </w:r>
      <w:r w:rsidR="00B15E36">
        <w:t xml:space="preserve">. Ciò che si intende per “educazione”, </w:t>
      </w:r>
      <w:r w:rsidR="00505110">
        <w:t xml:space="preserve">“istruzione”, “scuola”, </w:t>
      </w:r>
      <w:r w:rsidR="00B15E36">
        <w:t xml:space="preserve">“alta formazione” presenta un nesso </w:t>
      </w:r>
      <w:r w:rsidR="00505110">
        <w:t>profondo e determinante</w:t>
      </w:r>
      <w:r w:rsidR="00B15E36">
        <w:t xml:space="preserve"> con la possib</w:t>
      </w:r>
      <w:r w:rsidR="00505110">
        <w:t>ilità di mantenere –o radicare</w:t>
      </w:r>
      <w:r w:rsidR="00B15E36">
        <w:t>- sistemi democratici. Nell’approccio di Nussbaum, la nozione di educazione (</w:t>
      </w:r>
      <w:r w:rsidR="00505110">
        <w:t xml:space="preserve">nell’accezione sia </w:t>
      </w:r>
      <w:r w:rsidR="00B15E36">
        <w:t xml:space="preserve">formale </w:t>
      </w:r>
      <w:r w:rsidR="00505110">
        <w:t>ch</w:t>
      </w:r>
      <w:r w:rsidR="00B15E36">
        <w:t>e informale) riveste un ruolo primario per tutto lo sviluppo di capacità</w:t>
      </w:r>
      <w:r w:rsidR="00096BB3">
        <w:t>.</w:t>
      </w:r>
      <w:r w:rsidR="00B15E36">
        <w:t xml:space="preserve"> Se da un lato la riforma dei percorsi di istruzione (scuola e università) si delinea come passaggio indispensabile p</w:t>
      </w:r>
      <w:r w:rsidR="00096BB3">
        <w:t>e</w:t>
      </w:r>
      <w:r w:rsidR="00505110">
        <w:t>r la formazione di persone consap</w:t>
      </w:r>
      <w:r w:rsidR="00096BB3">
        <w:t>e</w:t>
      </w:r>
      <w:r w:rsidR="00505110">
        <w:t>voli</w:t>
      </w:r>
      <w:r w:rsidR="00096BB3">
        <w:t xml:space="preserve"> della propria appartenenza </w:t>
      </w:r>
      <w:r w:rsidR="00B15E36">
        <w:t>all’umanità</w:t>
      </w:r>
      <w:r w:rsidR="00096BB3">
        <w:rPr>
          <w:rStyle w:val="Rimandonotaapidipagina"/>
        </w:rPr>
        <w:footnoteReference w:id="11"/>
      </w:r>
      <w:r w:rsidR="00B15E36">
        <w:t xml:space="preserve">, dall’altro lato </w:t>
      </w:r>
      <w:r w:rsidR="00505110">
        <w:t>è l’</w:t>
      </w:r>
      <w:r w:rsidR="00B15E36">
        <w:t xml:space="preserve">educazione informale a </w:t>
      </w:r>
      <w:r w:rsidR="00505110">
        <w:t>fornire strumenti a sostegno del</w:t>
      </w:r>
      <w:r w:rsidR="00B15E36">
        <w:t xml:space="preserve"> processo di formazione delle stesse</w:t>
      </w:r>
      <w:r w:rsidR="00505110">
        <w:t xml:space="preserve">: la storia di Vasanti, e l’opportunità di </w:t>
      </w:r>
      <w:r w:rsidR="00B15E36">
        <w:t>accesso</w:t>
      </w:r>
      <w:r w:rsidR="00505110">
        <w:t xml:space="preserve"> a programmi di microcredito e</w:t>
      </w:r>
      <w:r w:rsidR="00B15E36">
        <w:t xml:space="preserve"> reti di supporto tra pari, è forse l’esempio più limpido della pervasività dell’educazione nell’impianto del </w:t>
      </w:r>
      <w:r w:rsidR="00B15E36">
        <w:rPr>
          <w:i/>
        </w:rPr>
        <w:t>capability approach</w:t>
      </w:r>
      <w:r w:rsidR="00B15E36">
        <w:t xml:space="preserve">. </w:t>
      </w:r>
      <w:r w:rsidR="00FB2AE4">
        <w:t xml:space="preserve">Si rileva, allora, che il volume di Nussbaum non si rivolge al solo pubblico accademico, ma intende offrire agli attori istituzionali (nazionali, transnazionali e internazionali) uno sguardo di riflessione sui percorsi di formazione </w:t>
      </w:r>
      <w:r w:rsidR="00505110">
        <w:t>che permettano una buona vita</w:t>
      </w:r>
      <w:r w:rsidR="00FB2AE4">
        <w:t>. D</w:t>
      </w:r>
      <w:r w:rsidR="00096BB3">
        <w:t xml:space="preserve">estinatari del volume risultano, su tutti, i </w:t>
      </w:r>
      <w:r w:rsidR="00096BB3">
        <w:rPr>
          <w:i/>
        </w:rPr>
        <w:t>policy maker</w:t>
      </w:r>
      <w:r w:rsidR="00096BB3">
        <w:t xml:space="preserve"> come la World Bank o la Commissione Europea che attraverso strategie di lungo periodo e programmi specifici (si veda ad esempio la strategia Europa 2020</w:t>
      </w:r>
      <w:r w:rsidR="006F3A47">
        <w:rPr>
          <w:rStyle w:val="Rimandonotaapidipagina"/>
        </w:rPr>
        <w:footnoteReference w:id="12"/>
      </w:r>
      <w:r w:rsidR="00096BB3">
        <w:t>) possono determinare le opportunità di sviluppo delle persone e di realizzazione di un benessere diffuso.</w:t>
      </w:r>
    </w:p>
    <w:p w14:paraId="284A3C26" w14:textId="67564718" w:rsidR="008B559C" w:rsidRDefault="00096BB3" w:rsidP="00C80EFA">
      <w:pPr>
        <w:spacing w:line="276" w:lineRule="auto"/>
        <w:ind w:firstLine="426"/>
        <w:jc w:val="both"/>
      </w:pPr>
      <w:r>
        <w:t xml:space="preserve">Ciò che Nussbaum propone, in ultima istanza, è una contro-teoria in aperta contrapposizione ai modelli economici oggi dominanti: l’obiettivo è quello di fornire legittimità (filosofica e politica) ad una prospettiva sull’esistenza umana capace di rielaborare la scala di valori e i bisogni di intervento. Alla radice del costrutto di </w:t>
      </w:r>
      <w:r>
        <w:rPr>
          <w:i/>
        </w:rPr>
        <w:t>capacità</w:t>
      </w:r>
      <w:r>
        <w:t xml:space="preserve"> vi è, infatti, </w:t>
      </w:r>
      <w:r w:rsidR="00AB33F1">
        <w:t>una nuova di uomo e di vita umana: u</w:t>
      </w:r>
      <w:r>
        <w:t>n’idea che consideri</w:t>
      </w:r>
      <w:r w:rsidR="00C80EFA">
        <w:t xml:space="preserve"> la persona nella sua totalità e ne articoli le istanze all’interno del processo di formazione che avviene nella vita sociale. Il volume offre perciò una finestra profonda e di ampio respiro sul bisogno di ripensare</w:t>
      </w:r>
      <w:r w:rsidR="001D2325">
        <w:t xml:space="preserve"> i</w:t>
      </w:r>
      <w:r w:rsidR="00C80EFA">
        <w:t xml:space="preserve"> sistemi politici ed economici –e le azioni educative conseguenti- in un’ottica di supporto </w:t>
      </w:r>
      <w:r w:rsidR="001D2325">
        <w:t>al pieno sviluppo delle capacità delle persone.</w:t>
      </w:r>
    </w:p>
    <w:p w14:paraId="3B7098EB" w14:textId="20764AB7" w:rsidR="004571EF" w:rsidRDefault="00A2569C" w:rsidP="00E34EE1">
      <w:pPr>
        <w:spacing w:line="276" w:lineRule="auto"/>
        <w:ind w:firstLine="426"/>
        <w:jc w:val="both"/>
      </w:pPr>
      <w:r>
        <w:t xml:space="preserve">Questo </w:t>
      </w:r>
      <w:r w:rsidR="0039712A">
        <w:t>sguardo</w:t>
      </w:r>
      <w:r w:rsidR="001D2325">
        <w:t xml:space="preserve"> costituisce </w:t>
      </w:r>
      <w:r w:rsidR="00C80EFA">
        <w:t>il</w:t>
      </w:r>
      <w:r w:rsidR="0039712A">
        <w:t xml:space="preserve"> </w:t>
      </w:r>
      <w:r w:rsidR="00C80EFA">
        <w:t>nodo pedagogico</w:t>
      </w:r>
      <w:r w:rsidR="0039712A">
        <w:t xml:space="preserve"> dell’approccio delle capacità di cui Nussbaum dà illustrazione nel volume. Il costrutto rappresenta difatti un’interessante prospettiva per la costruzione di percorsi educativi e formativi di sviluppo </w:t>
      </w:r>
      <w:r w:rsidR="001D2325">
        <w:t>di uomini e cittadini</w:t>
      </w:r>
      <w:r w:rsidR="0039712A">
        <w:t>. Il possesso di capacità costituisce, in questa direzione, non soltanto la dotazione di competenze per il soggetto, ma la realizzazione concreta del processo di formazione della persona umana quale detentrice di diritti, doveri, desideri e aspirazioni. La finalità del paradigma rimanda all’impegno (politico, sociale e istituzionale) per la realizzazione di vite degne di essere vissute</w:t>
      </w:r>
      <w:r w:rsidR="001D2325">
        <w:t xml:space="preserve"> attraverso il raggiungimento della</w:t>
      </w:r>
      <w:r w:rsidR="0039712A">
        <w:t xml:space="preserve"> libertà di scegliere chi essere e cosa fare della propria esistenza. In questo senso, il contributo di Nussbaum delinea una cornice teorica di riferimento davvero preziosa per t</w:t>
      </w:r>
      <w:r w:rsidR="001D2325">
        <w:t>utti quegli attori che, a vari livelli e</w:t>
      </w:r>
      <w:r w:rsidR="0039712A">
        <w:t xml:space="preserve"> contesti, operano a supporto dei processi di formazione della persona. </w:t>
      </w:r>
      <w:r w:rsidR="001D2325">
        <w:t>Il costrutto che ne emerge</w:t>
      </w:r>
      <w:r w:rsidR="0039712A">
        <w:t xml:space="preserve">, complesso e raffinato, fornisce </w:t>
      </w:r>
      <w:r w:rsidR="001D2325">
        <w:t xml:space="preserve">allora </w:t>
      </w:r>
      <w:r w:rsidR="0039712A">
        <w:t xml:space="preserve">ampie possibilità di azione, con l’intento di formare persone pienamente capaci di costruire il proprio percorso di vita e di divenire </w:t>
      </w:r>
      <w:r w:rsidR="00C80EFA">
        <w:t>protagonisti</w:t>
      </w:r>
      <w:r w:rsidR="0039712A">
        <w:t xml:space="preserve"> partecipi dell’intera comunità umana e globale</w:t>
      </w:r>
      <w:r w:rsidR="00E34EE1">
        <w:t>.</w:t>
      </w:r>
    </w:p>
    <w:sectPr w:rsidR="004571EF" w:rsidSect="00096BB3">
      <w:footerReference w:type="even" r:id="rId8"/>
      <w:footerReference w:type="default" r:id="rId9"/>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FE09E" w14:textId="77777777" w:rsidR="00C80EFA" w:rsidRDefault="00C80EFA" w:rsidP="004D7969">
      <w:r>
        <w:separator/>
      </w:r>
    </w:p>
  </w:endnote>
  <w:endnote w:type="continuationSeparator" w:id="0">
    <w:p w14:paraId="4647E557" w14:textId="77777777" w:rsidR="00C80EFA" w:rsidRDefault="00C80EFA" w:rsidP="004D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D09C" w14:textId="77777777" w:rsidR="00C80EFA" w:rsidRDefault="00C80EFA" w:rsidP="000E5F3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CA4909" w14:textId="77777777" w:rsidR="00C80EFA" w:rsidRDefault="00C80EFA" w:rsidP="004D7969">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52673" w14:textId="77777777" w:rsidR="00C80EFA" w:rsidRDefault="00C80EFA" w:rsidP="000E5F3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417BF">
      <w:rPr>
        <w:rStyle w:val="Numeropagina"/>
        <w:noProof/>
      </w:rPr>
      <w:t>1</w:t>
    </w:r>
    <w:r>
      <w:rPr>
        <w:rStyle w:val="Numeropagina"/>
      </w:rPr>
      <w:fldChar w:fldCharType="end"/>
    </w:r>
  </w:p>
  <w:p w14:paraId="0E87091C" w14:textId="77777777" w:rsidR="00C80EFA" w:rsidRDefault="00C80EFA" w:rsidP="004D7969">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5477D" w14:textId="77777777" w:rsidR="00C80EFA" w:rsidRDefault="00C80EFA" w:rsidP="004D7969">
      <w:r>
        <w:separator/>
      </w:r>
    </w:p>
  </w:footnote>
  <w:footnote w:type="continuationSeparator" w:id="0">
    <w:p w14:paraId="752F0304" w14:textId="77777777" w:rsidR="00C80EFA" w:rsidRDefault="00C80EFA" w:rsidP="004D7969">
      <w:r>
        <w:continuationSeparator/>
      </w:r>
    </w:p>
  </w:footnote>
  <w:footnote w:id="1">
    <w:p w14:paraId="3F983DAD" w14:textId="2A818DCD"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La traduzione italiana del titolo si discosta leggermente dal contenuto dell’edizione originale </w:t>
      </w:r>
      <w:r w:rsidRPr="006F3A47">
        <w:rPr>
          <w:i/>
          <w:sz w:val="20"/>
          <w:szCs w:val="20"/>
        </w:rPr>
        <w:t>Creating Capabilities. The Human Development Approach</w:t>
      </w:r>
      <w:r w:rsidRPr="006F3A47">
        <w:rPr>
          <w:sz w:val="20"/>
          <w:szCs w:val="20"/>
        </w:rPr>
        <w:t xml:space="preserve"> del 2011.</w:t>
      </w:r>
    </w:p>
  </w:footnote>
  <w:footnote w:id="2">
    <w:p w14:paraId="5BCF9842" w14:textId="788C8BC1"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Kant, I., </w:t>
      </w:r>
      <w:r w:rsidRPr="006F3A47">
        <w:rPr>
          <w:i/>
          <w:sz w:val="20"/>
          <w:szCs w:val="20"/>
        </w:rPr>
        <w:t>Fondazione della metafisica dei costumi</w:t>
      </w:r>
      <w:r w:rsidRPr="006F3A47">
        <w:rPr>
          <w:sz w:val="20"/>
          <w:szCs w:val="20"/>
        </w:rPr>
        <w:t>, Milano, Rusconi, 1994.</w:t>
      </w:r>
    </w:p>
  </w:footnote>
  <w:footnote w:id="3">
    <w:p w14:paraId="38D77DE8" w14:textId="30ED457E" w:rsidR="00C80EFA" w:rsidRPr="007B30DD"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Morin, E.</w:t>
      </w:r>
      <w:r w:rsidR="007B30DD">
        <w:rPr>
          <w:sz w:val="20"/>
          <w:szCs w:val="20"/>
        </w:rPr>
        <w:t xml:space="preserve">, </w:t>
      </w:r>
      <w:r w:rsidR="007B30DD">
        <w:rPr>
          <w:i/>
          <w:sz w:val="20"/>
          <w:szCs w:val="20"/>
        </w:rPr>
        <w:t>La testa ben fatta. Riforma dell’insegnamento e riforma del pensiero</w:t>
      </w:r>
      <w:r w:rsidR="007B30DD">
        <w:rPr>
          <w:sz w:val="20"/>
          <w:szCs w:val="20"/>
        </w:rPr>
        <w:t>, Milano, Raffaello Cortina, 2000.</w:t>
      </w:r>
    </w:p>
  </w:footnote>
  <w:footnote w:id="4">
    <w:p w14:paraId="7D3A4654" w14:textId="4CF6748F"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Rawls, J., </w:t>
      </w:r>
      <w:r w:rsidRPr="006F3A47">
        <w:rPr>
          <w:i/>
          <w:sz w:val="20"/>
          <w:szCs w:val="20"/>
        </w:rPr>
        <w:t>Una teoria della giustizia</w:t>
      </w:r>
      <w:r w:rsidRPr="006F3A47">
        <w:rPr>
          <w:sz w:val="20"/>
          <w:szCs w:val="20"/>
        </w:rPr>
        <w:t>, Milano, Feltrinelli, 1989.</w:t>
      </w:r>
    </w:p>
  </w:footnote>
  <w:footnote w:id="5">
    <w:p w14:paraId="73B75681" w14:textId="3941904C"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Sen, A., </w:t>
      </w:r>
      <w:r w:rsidRPr="006F3A47">
        <w:rPr>
          <w:i/>
          <w:sz w:val="20"/>
          <w:szCs w:val="20"/>
        </w:rPr>
        <w:t>Lo sviluppo è libertà. Perché non c’è crescita senza democrazia</w:t>
      </w:r>
      <w:r w:rsidRPr="006F3A47">
        <w:rPr>
          <w:sz w:val="20"/>
          <w:szCs w:val="20"/>
        </w:rPr>
        <w:t>, Milano, Mondadori, 2011.</w:t>
      </w:r>
    </w:p>
  </w:footnote>
  <w:footnote w:id="6">
    <w:p w14:paraId="2B3FBEC0" w14:textId="5CDDEB2B"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Baldacci, M., </w:t>
      </w:r>
      <w:r w:rsidRPr="006F3A47">
        <w:rPr>
          <w:i/>
          <w:sz w:val="20"/>
          <w:szCs w:val="20"/>
        </w:rPr>
        <w:t>Per un’idea di scuola. Istruzione, lavoro e democrazia</w:t>
      </w:r>
      <w:r w:rsidRPr="006F3A47">
        <w:rPr>
          <w:sz w:val="20"/>
          <w:szCs w:val="20"/>
        </w:rPr>
        <w:t>. Milano, FrancoAngeli, 2014.</w:t>
      </w:r>
    </w:p>
  </w:footnote>
  <w:footnote w:id="7">
    <w:p w14:paraId="65409A75" w14:textId="0EA77F52"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Alessandrini, G. (a cura di), </w:t>
      </w:r>
      <w:r w:rsidRPr="006F3A47">
        <w:rPr>
          <w:i/>
          <w:sz w:val="20"/>
          <w:szCs w:val="20"/>
        </w:rPr>
        <w:t>La «pedagogia» di Martha Nussbaum</w:t>
      </w:r>
      <w:r w:rsidRPr="006F3A47">
        <w:rPr>
          <w:sz w:val="20"/>
          <w:szCs w:val="20"/>
        </w:rPr>
        <w:t>, Milano, FrancoAngeli, 2014.</w:t>
      </w:r>
    </w:p>
  </w:footnote>
  <w:footnote w:id="8">
    <w:p w14:paraId="4F06EC62" w14:textId="52F1C8F4"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Cambi, F., </w:t>
      </w:r>
      <w:r w:rsidRPr="006F3A47">
        <w:rPr>
          <w:i/>
          <w:sz w:val="20"/>
          <w:szCs w:val="20"/>
        </w:rPr>
        <w:t>Soggetto come persona. Statuto formativo e modelli attuali</w:t>
      </w:r>
      <w:r w:rsidRPr="006F3A47">
        <w:rPr>
          <w:sz w:val="20"/>
          <w:szCs w:val="20"/>
        </w:rPr>
        <w:t>. Roma, Carocci, 2007.</w:t>
      </w:r>
    </w:p>
  </w:footnote>
  <w:footnote w:id="9">
    <w:p w14:paraId="74BCD6A3" w14:textId="01BF0C75" w:rsidR="00D43820" w:rsidRPr="006F3A47" w:rsidRDefault="00D43820"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Nussbaum, M.C., Creare capacità. Liberarsi dalla dittatura del Pil, Milano, Il Mulino, 2012, p. 26.</w:t>
      </w:r>
    </w:p>
  </w:footnote>
  <w:footnote w:id="10">
    <w:p w14:paraId="261018DD" w14:textId="167B31CE"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Nussbaum, M.C., </w:t>
      </w:r>
      <w:r w:rsidRPr="006F3A47">
        <w:rPr>
          <w:i/>
          <w:sz w:val="20"/>
          <w:szCs w:val="20"/>
        </w:rPr>
        <w:t>Coltivare l’umanità: i classici, il multiculturalismo, l’educazione contemporanea</w:t>
      </w:r>
      <w:r w:rsidRPr="006F3A47">
        <w:rPr>
          <w:sz w:val="20"/>
          <w:szCs w:val="20"/>
        </w:rPr>
        <w:t>, Roma, Carocci, 1999.</w:t>
      </w:r>
    </w:p>
  </w:footnote>
  <w:footnote w:id="11">
    <w:p w14:paraId="1B4A0B81" w14:textId="59CE5439" w:rsidR="00C80EFA" w:rsidRPr="006F3A47" w:rsidRDefault="00C80EFA"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Nussbaum, M.C., </w:t>
      </w:r>
      <w:r w:rsidRPr="006F3A47">
        <w:rPr>
          <w:i/>
          <w:sz w:val="20"/>
          <w:szCs w:val="20"/>
        </w:rPr>
        <w:t>Non per profitto. Perché le democrazie hanno bisogno della cultura umanistica</w:t>
      </w:r>
      <w:r w:rsidRPr="006F3A47">
        <w:rPr>
          <w:sz w:val="20"/>
          <w:szCs w:val="20"/>
        </w:rPr>
        <w:t>, Bologna, Il Mulino, 2011.</w:t>
      </w:r>
    </w:p>
  </w:footnote>
  <w:footnote w:id="12">
    <w:p w14:paraId="2D1CB62D" w14:textId="56760014" w:rsidR="006F3A47" w:rsidRPr="006F3A47" w:rsidRDefault="006F3A47" w:rsidP="006F3A47">
      <w:pPr>
        <w:pStyle w:val="Testonotaapidipagina"/>
        <w:jc w:val="both"/>
        <w:rPr>
          <w:sz w:val="20"/>
          <w:szCs w:val="20"/>
        </w:rPr>
      </w:pPr>
      <w:r w:rsidRPr="006F3A47">
        <w:rPr>
          <w:rStyle w:val="Rimandonotaapidipagina"/>
          <w:sz w:val="20"/>
          <w:szCs w:val="20"/>
        </w:rPr>
        <w:footnoteRef/>
      </w:r>
      <w:r w:rsidRPr="006F3A47">
        <w:rPr>
          <w:sz w:val="20"/>
          <w:szCs w:val="20"/>
        </w:rPr>
        <w:t xml:space="preserve"> Commissione Europea, </w:t>
      </w:r>
      <w:r w:rsidRPr="006F3A47">
        <w:rPr>
          <w:i/>
          <w:sz w:val="20"/>
          <w:szCs w:val="20"/>
        </w:rPr>
        <w:t>Strategia Europa 2020. Una strategia per una crescita intelligente, sostenibile e inclusiva</w:t>
      </w:r>
      <w:r w:rsidRPr="006F3A47">
        <w:rPr>
          <w:sz w:val="20"/>
          <w:szCs w:val="20"/>
        </w:rPr>
        <w:t xml:space="preserve">, Lussemburgo: Ufficio Pubblicazioni dell’Unione Europea.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AB"/>
    <w:rsid w:val="000018E9"/>
    <w:rsid w:val="00020199"/>
    <w:rsid w:val="00042CB8"/>
    <w:rsid w:val="00096BB3"/>
    <w:rsid w:val="000B159B"/>
    <w:rsid w:val="000B37B3"/>
    <w:rsid w:val="000D7D96"/>
    <w:rsid w:val="000E5F36"/>
    <w:rsid w:val="00125F40"/>
    <w:rsid w:val="00135164"/>
    <w:rsid w:val="00147738"/>
    <w:rsid w:val="001847AD"/>
    <w:rsid w:val="001A3F27"/>
    <w:rsid w:val="001D00AA"/>
    <w:rsid w:val="001D2325"/>
    <w:rsid w:val="001D41B5"/>
    <w:rsid w:val="001F02F2"/>
    <w:rsid w:val="00222A25"/>
    <w:rsid w:val="002646B1"/>
    <w:rsid w:val="002A323A"/>
    <w:rsid w:val="002C6E5D"/>
    <w:rsid w:val="002D1B9F"/>
    <w:rsid w:val="002E3A47"/>
    <w:rsid w:val="002E6976"/>
    <w:rsid w:val="002F26B1"/>
    <w:rsid w:val="00300E65"/>
    <w:rsid w:val="00311E76"/>
    <w:rsid w:val="00325DD0"/>
    <w:rsid w:val="00347447"/>
    <w:rsid w:val="003960B7"/>
    <w:rsid w:val="0039712A"/>
    <w:rsid w:val="0042553D"/>
    <w:rsid w:val="00452733"/>
    <w:rsid w:val="004571EF"/>
    <w:rsid w:val="004641C0"/>
    <w:rsid w:val="004675AC"/>
    <w:rsid w:val="004A457F"/>
    <w:rsid w:val="004D7969"/>
    <w:rsid w:val="004D79D1"/>
    <w:rsid w:val="004F3B18"/>
    <w:rsid w:val="00505110"/>
    <w:rsid w:val="0056190F"/>
    <w:rsid w:val="005E00EF"/>
    <w:rsid w:val="005E22E8"/>
    <w:rsid w:val="005F1D6C"/>
    <w:rsid w:val="00622990"/>
    <w:rsid w:val="0066290D"/>
    <w:rsid w:val="006A7D9A"/>
    <w:rsid w:val="006B730C"/>
    <w:rsid w:val="006D499A"/>
    <w:rsid w:val="006D6DA0"/>
    <w:rsid w:val="006F3A47"/>
    <w:rsid w:val="00736BD9"/>
    <w:rsid w:val="00744086"/>
    <w:rsid w:val="007523F8"/>
    <w:rsid w:val="007A0AE9"/>
    <w:rsid w:val="007B30DD"/>
    <w:rsid w:val="007E3777"/>
    <w:rsid w:val="00882889"/>
    <w:rsid w:val="00884BA9"/>
    <w:rsid w:val="008B559C"/>
    <w:rsid w:val="008E16B4"/>
    <w:rsid w:val="00901258"/>
    <w:rsid w:val="00901D9D"/>
    <w:rsid w:val="0090350F"/>
    <w:rsid w:val="009051F9"/>
    <w:rsid w:val="009417BF"/>
    <w:rsid w:val="009A7A85"/>
    <w:rsid w:val="009C1A8A"/>
    <w:rsid w:val="009C3FB4"/>
    <w:rsid w:val="009E6900"/>
    <w:rsid w:val="009F6382"/>
    <w:rsid w:val="00A10363"/>
    <w:rsid w:val="00A24A7D"/>
    <w:rsid w:val="00A2569C"/>
    <w:rsid w:val="00A34E4E"/>
    <w:rsid w:val="00A37B70"/>
    <w:rsid w:val="00A55C0E"/>
    <w:rsid w:val="00A66BC5"/>
    <w:rsid w:val="00A71081"/>
    <w:rsid w:val="00AB33F1"/>
    <w:rsid w:val="00AD5A4F"/>
    <w:rsid w:val="00AF129F"/>
    <w:rsid w:val="00B15E36"/>
    <w:rsid w:val="00B2702B"/>
    <w:rsid w:val="00B37566"/>
    <w:rsid w:val="00B62B71"/>
    <w:rsid w:val="00BB2133"/>
    <w:rsid w:val="00BE6068"/>
    <w:rsid w:val="00C249CC"/>
    <w:rsid w:val="00C5060E"/>
    <w:rsid w:val="00C72E98"/>
    <w:rsid w:val="00C80EFA"/>
    <w:rsid w:val="00CF7B4D"/>
    <w:rsid w:val="00D43820"/>
    <w:rsid w:val="00D63645"/>
    <w:rsid w:val="00D6613B"/>
    <w:rsid w:val="00DA6DD1"/>
    <w:rsid w:val="00DE2C83"/>
    <w:rsid w:val="00E21A9D"/>
    <w:rsid w:val="00E34EE1"/>
    <w:rsid w:val="00E42DA4"/>
    <w:rsid w:val="00E60DAB"/>
    <w:rsid w:val="00E61F59"/>
    <w:rsid w:val="00EF714C"/>
    <w:rsid w:val="00F125A9"/>
    <w:rsid w:val="00F1347B"/>
    <w:rsid w:val="00F610EA"/>
    <w:rsid w:val="00F713F6"/>
    <w:rsid w:val="00F75232"/>
    <w:rsid w:val="00F94728"/>
    <w:rsid w:val="00FB2AE4"/>
    <w:rsid w:val="00FB6985"/>
    <w:rsid w:val="00FF52A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FEE1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D7969"/>
    <w:pPr>
      <w:tabs>
        <w:tab w:val="center" w:pos="4819"/>
        <w:tab w:val="right" w:pos="9638"/>
      </w:tabs>
    </w:pPr>
  </w:style>
  <w:style w:type="character" w:customStyle="1" w:styleId="PidipaginaCarattere">
    <w:name w:val="Piè di pagina Carattere"/>
    <w:basedOn w:val="Caratterepredefinitoparagrafo"/>
    <w:link w:val="Pidipagina"/>
    <w:uiPriority w:val="99"/>
    <w:rsid w:val="004D7969"/>
  </w:style>
  <w:style w:type="character" w:styleId="Numeropagina">
    <w:name w:val="page number"/>
    <w:basedOn w:val="Caratterepredefinitoparagrafo"/>
    <w:uiPriority w:val="99"/>
    <w:semiHidden/>
    <w:unhideWhenUsed/>
    <w:rsid w:val="004D7969"/>
  </w:style>
  <w:style w:type="paragraph" w:styleId="Intestazione">
    <w:name w:val="header"/>
    <w:basedOn w:val="Normale"/>
    <w:link w:val="IntestazioneCarattere"/>
    <w:uiPriority w:val="99"/>
    <w:unhideWhenUsed/>
    <w:rsid w:val="004D7969"/>
    <w:pPr>
      <w:tabs>
        <w:tab w:val="center" w:pos="4819"/>
        <w:tab w:val="right" w:pos="9638"/>
      </w:tabs>
    </w:pPr>
  </w:style>
  <w:style w:type="character" w:customStyle="1" w:styleId="IntestazioneCarattere">
    <w:name w:val="Intestazione Carattere"/>
    <w:basedOn w:val="Caratterepredefinitoparagrafo"/>
    <w:link w:val="Intestazione"/>
    <w:uiPriority w:val="99"/>
    <w:rsid w:val="004D7969"/>
  </w:style>
  <w:style w:type="paragraph" w:styleId="Testonotaapidipagina">
    <w:name w:val="footnote text"/>
    <w:basedOn w:val="Normale"/>
    <w:link w:val="TestonotaapidipaginaCarattere"/>
    <w:uiPriority w:val="99"/>
    <w:unhideWhenUsed/>
    <w:rsid w:val="005E22E8"/>
  </w:style>
  <w:style w:type="character" w:customStyle="1" w:styleId="TestonotaapidipaginaCarattere">
    <w:name w:val="Testo nota a piè di pagina Carattere"/>
    <w:basedOn w:val="Caratterepredefinitoparagrafo"/>
    <w:link w:val="Testonotaapidipagina"/>
    <w:uiPriority w:val="99"/>
    <w:rsid w:val="005E22E8"/>
  </w:style>
  <w:style w:type="character" w:styleId="Rimandonotaapidipagina">
    <w:name w:val="footnote reference"/>
    <w:basedOn w:val="Caratterepredefinitoparagrafo"/>
    <w:uiPriority w:val="99"/>
    <w:unhideWhenUsed/>
    <w:rsid w:val="005E22E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D7969"/>
    <w:pPr>
      <w:tabs>
        <w:tab w:val="center" w:pos="4819"/>
        <w:tab w:val="right" w:pos="9638"/>
      </w:tabs>
    </w:pPr>
  </w:style>
  <w:style w:type="character" w:customStyle="1" w:styleId="PidipaginaCarattere">
    <w:name w:val="Piè di pagina Carattere"/>
    <w:basedOn w:val="Caratterepredefinitoparagrafo"/>
    <w:link w:val="Pidipagina"/>
    <w:uiPriority w:val="99"/>
    <w:rsid w:val="004D7969"/>
  </w:style>
  <w:style w:type="character" w:styleId="Numeropagina">
    <w:name w:val="page number"/>
    <w:basedOn w:val="Caratterepredefinitoparagrafo"/>
    <w:uiPriority w:val="99"/>
    <w:semiHidden/>
    <w:unhideWhenUsed/>
    <w:rsid w:val="004D7969"/>
  </w:style>
  <w:style w:type="paragraph" w:styleId="Intestazione">
    <w:name w:val="header"/>
    <w:basedOn w:val="Normale"/>
    <w:link w:val="IntestazioneCarattere"/>
    <w:uiPriority w:val="99"/>
    <w:unhideWhenUsed/>
    <w:rsid w:val="004D7969"/>
    <w:pPr>
      <w:tabs>
        <w:tab w:val="center" w:pos="4819"/>
        <w:tab w:val="right" w:pos="9638"/>
      </w:tabs>
    </w:pPr>
  </w:style>
  <w:style w:type="character" w:customStyle="1" w:styleId="IntestazioneCarattere">
    <w:name w:val="Intestazione Carattere"/>
    <w:basedOn w:val="Caratterepredefinitoparagrafo"/>
    <w:link w:val="Intestazione"/>
    <w:uiPriority w:val="99"/>
    <w:rsid w:val="004D7969"/>
  </w:style>
  <w:style w:type="paragraph" w:styleId="Testonotaapidipagina">
    <w:name w:val="footnote text"/>
    <w:basedOn w:val="Normale"/>
    <w:link w:val="TestonotaapidipaginaCarattere"/>
    <w:uiPriority w:val="99"/>
    <w:unhideWhenUsed/>
    <w:rsid w:val="005E22E8"/>
  </w:style>
  <w:style w:type="character" w:customStyle="1" w:styleId="TestonotaapidipaginaCarattere">
    <w:name w:val="Testo nota a piè di pagina Carattere"/>
    <w:basedOn w:val="Caratterepredefinitoparagrafo"/>
    <w:link w:val="Testonotaapidipagina"/>
    <w:uiPriority w:val="99"/>
    <w:rsid w:val="005E22E8"/>
  </w:style>
  <w:style w:type="character" w:styleId="Rimandonotaapidipagina">
    <w:name w:val="footnote reference"/>
    <w:basedOn w:val="Caratterepredefinitoparagrafo"/>
    <w:uiPriority w:val="99"/>
    <w:unhideWhenUsed/>
    <w:rsid w:val="005E2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69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88F0-5CD5-ED4D-A10D-E779150D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7702</Characters>
  <Application>Microsoft Macintosh Word</Application>
  <DocSecurity>0</DocSecurity>
  <Lines>64</Lines>
  <Paragraphs>18</Paragraphs>
  <ScaleCrop>false</ScaleCrop>
  <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Terzaroli</dc:creator>
  <cp:keywords/>
  <dc:description/>
  <cp:lastModifiedBy>Vanna Boffo</cp:lastModifiedBy>
  <cp:revision>2</cp:revision>
  <dcterms:created xsi:type="dcterms:W3CDTF">2019-05-13T22:17:00Z</dcterms:created>
  <dcterms:modified xsi:type="dcterms:W3CDTF">2019-05-13T22:17:00Z</dcterms:modified>
</cp:coreProperties>
</file>