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973" w:rsidRPr="00B56973" w:rsidRDefault="00B56973" w:rsidP="00BD441A">
      <w:pPr>
        <w:jc w:val="both"/>
        <w:rPr>
          <w:rFonts w:asciiTheme="majorHAnsi" w:hAnsiTheme="majorHAnsi"/>
          <w:b/>
          <w:sz w:val="28"/>
          <w:szCs w:val="28"/>
          <w:lang w:val="en-US"/>
        </w:rPr>
      </w:pPr>
      <w:r w:rsidRPr="00B56973">
        <w:rPr>
          <w:rFonts w:asciiTheme="majorHAnsi" w:hAnsiTheme="majorHAnsi"/>
          <w:b/>
          <w:sz w:val="28"/>
          <w:szCs w:val="28"/>
          <w:lang w:val="en-US"/>
        </w:rPr>
        <w:t>BA Degree in Economic Development, International Social and Health Cooperation and Conflict Resolution</w:t>
      </w:r>
    </w:p>
    <w:p w:rsidR="00B56973" w:rsidRPr="00B56973" w:rsidRDefault="00B56973" w:rsidP="00BD441A">
      <w:pPr>
        <w:jc w:val="both"/>
        <w:rPr>
          <w:rFonts w:asciiTheme="majorHAnsi" w:hAnsiTheme="majorHAnsi"/>
          <w:b/>
          <w:sz w:val="28"/>
          <w:szCs w:val="28"/>
          <w:lang w:val="en-US"/>
        </w:rPr>
      </w:pPr>
      <w:r w:rsidRPr="00B56973">
        <w:rPr>
          <w:rFonts w:asciiTheme="majorHAnsi" w:hAnsiTheme="majorHAnsi"/>
          <w:b/>
          <w:sz w:val="28"/>
          <w:szCs w:val="28"/>
          <w:lang w:val="en-US"/>
        </w:rPr>
        <w:t xml:space="preserve">Course on “Human </w:t>
      </w:r>
      <w:r w:rsidR="00495EE3">
        <w:rPr>
          <w:rFonts w:asciiTheme="majorHAnsi" w:hAnsiTheme="majorHAnsi"/>
          <w:b/>
          <w:sz w:val="28"/>
          <w:szCs w:val="28"/>
          <w:lang w:val="en-US"/>
        </w:rPr>
        <w:t>Rights and Armed Conflicts” 2019/2020</w:t>
      </w:r>
      <w:r w:rsidRPr="00B56973">
        <w:rPr>
          <w:rFonts w:asciiTheme="majorHAnsi" w:hAnsiTheme="majorHAnsi"/>
          <w:b/>
          <w:sz w:val="28"/>
          <w:szCs w:val="28"/>
          <w:lang w:val="en-US"/>
        </w:rPr>
        <w:t xml:space="preserve"> (Prof. Antonio </w:t>
      </w:r>
      <w:proofErr w:type="spellStart"/>
      <w:r w:rsidRPr="00B56973">
        <w:rPr>
          <w:rFonts w:asciiTheme="majorHAnsi" w:hAnsiTheme="majorHAnsi"/>
          <w:b/>
          <w:sz w:val="28"/>
          <w:szCs w:val="28"/>
          <w:lang w:val="en-US"/>
        </w:rPr>
        <w:t>Bultrini</w:t>
      </w:r>
      <w:proofErr w:type="spellEnd"/>
      <w:r w:rsidRPr="00B56973">
        <w:rPr>
          <w:rFonts w:asciiTheme="majorHAnsi" w:hAnsiTheme="majorHAnsi"/>
          <w:b/>
          <w:sz w:val="28"/>
          <w:szCs w:val="28"/>
          <w:lang w:val="en-US"/>
        </w:rPr>
        <w:t>)</w:t>
      </w:r>
    </w:p>
    <w:p w:rsidR="00AF7D2F" w:rsidRDefault="00B56973" w:rsidP="00AF7D2F">
      <w:pPr>
        <w:jc w:val="both"/>
        <w:rPr>
          <w:rFonts w:asciiTheme="majorHAnsi" w:hAnsiTheme="majorHAnsi"/>
          <w:b/>
          <w:sz w:val="28"/>
          <w:szCs w:val="28"/>
          <w:u w:val="single"/>
          <w:lang w:val="en-US"/>
        </w:rPr>
      </w:pPr>
      <w:r w:rsidRPr="00B56973">
        <w:rPr>
          <w:rFonts w:asciiTheme="majorHAnsi" w:hAnsiTheme="majorHAnsi"/>
          <w:b/>
          <w:sz w:val="28"/>
          <w:szCs w:val="28"/>
          <w:u w:val="single"/>
          <w:lang w:val="en-US"/>
        </w:rPr>
        <w:t xml:space="preserve">Complementary elements </w:t>
      </w:r>
    </w:p>
    <w:p w:rsidR="00F14B83" w:rsidRPr="00F14B83" w:rsidRDefault="00F14B83" w:rsidP="00F14B83">
      <w:pPr>
        <w:jc w:val="both"/>
        <w:rPr>
          <w:rFonts w:asciiTheme="majorHAnsi" w:hAnsiTheme="majorHAnsi"/>
          <w:sz w:val="28"/>
          <w:szCs w:val="28"/>
          <w:u w:val="single"/>
          <w:lang w:val="en-US"/>
        </w:rPr>
      </w:pPr>
      <w:r w:rsidRPr="00F14B83">
        <w:rPr>
          <w:rFonts w:asciiTheme="majorHAnsi" w:hAnsiTheme="majorHAnsi"/>
          <w:b/>
          <w:sz w:val="28"/>
          <w:szCs w:val="28"/>
          <w:u w:val="single"/>
          <w:lang w:val="en-US"/>
        </w:rPr>
        <w:t>IMPORTANT NOTE:</w:t>
      </w:r>
      <w:r w:rsidRPr="00F14B83">
        <w:rPr>
          <w:rFonts w:asciiTheme="majorHAnsi" w:hAnsiTheme="majorHAnsi"/>
          <w:b/>
          <w:sz w:val="28"/>
          <w:szCs w:val="28"/>
          <w:lang w:val="en-US"/>
        </w:rPr>
        <w:t xml:space="preserve"> </w:t>
      </w:r>
      <w:r w:rsidRPr="00F14B83">
        <w:rPr>
          <w:rFonts w:asciiTheme="majorHAnsi" w:hAnsiTheme="majorHAnsi"/>
          <w:sz w:val="28"/>
          <w:szCs w:val="28"/>
          <w:lang w:val="en-US"/>
        </w:rPr>
        <w:t>complementary elements update o</w:t>
      </w:r>
      <w:r w:rsidRPr="00F14B83">
        <w:rPr>
          <w:rFonts w:asciiTheme="majorHAnsi" w:hAnsiTheme="majorHAnsi"/>
          <w:sz w:val="28"/>
          <w:szCs w:val="28"/>
          <w:lang w:val="en-US"/>
        </w:rPr>
        <w:t>r complete/modify the relevant materials’</w:t>
      </w:r>
      <w:r w:rsidRPr="00F14B83">
        <w:rPr>
          <w:rFonts w:asciiTheme="majorHAnsi" w:hAnsiTheme="majorHAnsi"/>
          <w:sz w:val="28"/>
          <w:szCs w:val="28"/>
          <w:lang w:val="en-US"/>
        </w:rPr>
        <w:t xml:space="preserve"> contents</w:t>
      </w:r>
      <w:r w:rsidRPr="00F14B83">
        <w:rPr>
          <w:rFonts w:asciiTheme="majorHAnsi" w:hAnsiTheme="majorHAnsi"/>
          <w:sz w:val="28"/>
          <w:szCs w:val="28"/>
          <w:u w:val="single"/>
          <w:lang w:val="en-US"/>
        </w:rPr>
        <w:t xml:space="preserve"> and are an integral part of the </w:t>
      </w:r>
      <w:proofErr w:type="spellStart"/>
      <w:r w:rsidRPr="00F14B83">
        <w:rPr>
          <w:rFonts w:asciiTheme="majorHAnsi" w:hAnsiTheme="majorHAnsi"/>
          <w:sz w:val="28"/>
          <w:szCs w:val="28"/>
          <w:u w:val="single"/>
          <w:lang w:val="en-US"/>
        </w:rPr>
        <w:t>programme</w:t>
      </w:r>
      <w:proofErr w:type="spellEnd"/>
      <w:r w:rsidRPr="00F14B83">
        <w:rPr>
          <w:rFonts w:asciiTheme="majorHAnsi" w:hAnsiTheme="majorHAnsi"/>
          <w:sz w:val="28"/>
          <w:szCs w:val="28"/>
          <w:u w:val="single"/>
          <w:lang w:val="en-US"/>
        </w:rPr>
        <w:t xml:space="preserve"> for the exam.</w:t>
      </w:r>
    </w:p>
    <w:p w:rsidR="00F14B83" w:rsidRPr="00F14B83" w:rsidRDefault="00F14B83" w:rsidP="00F14B83">
      <w:pPr>
        <w:jc w:val="both"/>
        <w:rPr>
          <w:rFonts w:asciiTheme="majorHAnsi" w:hAnsiTheme="majorHAnsi"/>
          <w:sz w:val="28"/>
          <w:szCs w:val="28"/>
          <w:u w:val="single"/>
          <w:lang w:val="en-US"/>
        </w:rPr>
      </w:pPr>
      <w:r w:rsidRPr="00F14B83">
        <w:rPr>
          <w:rFonts w:asciiTheme="majorHAnsi" w:hAnsiTheme="majorHAnsi"/>
          <w:b/>
          <w:sz w:val="28"/>
          <w:szCs w:val="28"/>
          <w:u w:val="single"/>
          <w:lang w:val="en-US"/>
        </w:rPr>
        <w:t>DISCLAIMER:</w:t>
      </w:r>
      <w:r w:rsidRPr="00F14B83">
        <w:rPr>
          <w:rFonts w:asciiTheme="majorHAnsi" w:hAnsiTheme="majorHAnsi"/>
          <w:b/>
          <w:sz w:val="28"/>
          <w:szCs w:val="28"/>
          <w:lang w:val="en-US"/>
        </w:rPr>
        <w:t xml:space="preserve"> </w:t>
      </w:r>
      <w:r w:rsidRPr="00F14B83">
        <w:rPr>
          <w:rFonts w:asciiTheme="majorHAnsi" w:hAnsiTheme="majorHAnsi"/>
          <w:sz w:val="28"/>
          <w:szCs w:val="28"/>
          <w:lang w:val="en-US"/>
        </w:rPr>
        <w:t xml:space="preserve">the following complementary elements have been edited by Professor </w:t>
      </w:r>
      <w:proofErr w:type="spellStart"/>
      <w:r w:rsidRPr="00F14B83">
        <w:rPr>
          <w:rFonts w:asciiTheme="majorHAnsi" w:hAnsiTheme="majorHAnsi"/>
          <w:sz w:val="28"/>
          <w:szCs w:val="28"/>
          <w:lang w:val="en-US"/>
        </w:rPr>
        <w:t>Bultrini</w:t>
      </w:r>
      <w:proofErr w:type="spellEnd"/>
      <w:r w:rsidRPr="00F14B83">
        <w:rPr>
          <w:rFonts w:asciiTheme="majorHAnsi" w:hAnsiTheme="majorHAnsi"/>
          <w:sz w:val="28"/>
          <w:szCs w:val="28"/>
          <w:lang w:val="en-US"/>
        </w:rPr>
        <w:t xml:space="preserve"> an</w:t>
      </w:r>
      <w:r w:rsidRPr="00F14B83">
        <w:rPr>
          <w:rFonts w:asciiTheme="majorHAnsi" w:hAnsiTheme="majorHAnsi"/>
          <w:sz w:val="28"/>
          <w:szCs w:val="28"/>
          <w:lang w:val="en-US"/>
        </w:rPr>
        <w:t xml:space="preserve">d have not </w:t>
      </w:r>
      <w:r>
        <w:rPr>
          <w:rFonts w:asciiTheme="majorHAnsi" w:hAnsiTheme="majorHAnsi"/>
          <w:sz w:val="28"/>
          <w:szCs w:val="28"/>
          <w:lang w:val="en-US"/>
        </w:rPr>
        <w:t xml:space="preserve">been </w:t>
      </w:r>
      <w:r w:rsidRPr="00F14B83">
        <w:rPr>
          <w:rFonts w:asciiTheme="majorHAnsi" w:hAnsiTheme="majorHAnsi"/>
          <w:sz w:val="28"/>
          <w:szCs w:val="28"/>
          <w:lang w:val="en-US"/>
        </w:rPr>
        <w:t>approved by the author</w:t>
      </w:r>
      <w:r w:rsidRPr="00F14B83">
        <w:rPr>
          <w:rFonts w:asciiTheme="majorHAnsi" w:hAnsiTheme="majorHAnsi"/>
          <w:sz w:val="28"/>
          <w:szCs w:val="28"/>
          <w:lang w:val="en-US"/>
        </w:rPr>
        <w:t xml:space="preserve">s of the relevant materials. </w:t>
      </w:r>
      <w:r w:rsidRPr="00F14B83">
        <w:rPr>
          <w:rFonts w:asciiTheme="majorHAnsi" w:hAnsiTheme="majorHAnsi"/>
          <w:sz w:val="28"/>
          <w:szCs w:val="28"/>
          <w:lang w:val="en-US"/>
        </w:rPr>
        <w:t xml:space="preserve">Therefore, apart from those including factual elements, they express solely Professor </w:t>
      </w:r>
      <w:proofErr w:type="spellStart"/>
      <w:r w:rsidRPr="00F14B83">
        <w:rPr>
          <w:rFonts w:asciiTheme="majorHAnsi" w:hAnsiTheme="majorHAnsi"/>
          <w:sz w:val="28"/>
          <w:szCs w:val="28"/>
          <w:lang w:val="en-US"/>
        </w:rPr>
        <w:t>Bultrini’s</w:t>
      </w:r>
      <w:proofErr w:type="spellEnd"/>
      <w:r w:rsidRPr="00F14B83">
        <w:rPr>
          <w:rFonts w:asciiTheme="majorHAnsi" w:hAnsiTheme="majorHAnsi"/>
          <w:sz w:val="28"/>
          <w:szCs w:val="28"/>
          <w:lang w:val="en-US"/>
        </w:rPr>
        <w:t xml:space="preserve"> views</w:t>
      </w:r>
      <w:r w:rsidRPr="00F14B83">
        <w:rPr>
          <w:rFonts w:asciiTheme="majorHAnsi" w:hAnsiTheme="majorHAnsi"/>
          <w:sz w:val="28"/>
          <w:szCs w:val="28"/>
          <w:u w:val="single"/>
          <w:lang w:val="en-US"/>
        </w:rPr>
        <w:t>.</w:t>
      </w:r>
    </w:p>
    <w:p w:rsidR="00AF7D2F" w:rsidRDefault="00AF7D2F" w:rsidP="00BD441A">
      <w:pPr>
        <w:pStyle w:val="Paragrafoelenco"/>
        <w:numPr>
          <w:ilvl w:val="0"/>
          <w:numId w:val="1"/>
        </w:numPr>
        <w:jc w:val="both"/>
        <w:rPr>
          <w:rFonts w:asciiTheme="majorHAnsi" w:hAnsiTheme="majorHAnsi"/>
          <w:b/>
          <w:sz w:val="24"/>
          <w:szCs w:val="24"/>
          <w:lang w:val="en-US"/>
        </w:rPr>
      </w:pPr>
      <w:r>
        <w:rPr>
          <w:rFonts w:asciiTheme="majorHAnsi" w:hAnsiTheme="majorHAnsi"/>
          <w:b/>
          <w:sz w:val="24"/>
          <w:szCs w:val="24"/>
          <w:lang w:val="en-US"/>
        </w:rPr>
        <w:t xml:space="preserve">Definition of </w:t>
      </w:r>
      <w:r w:rsidRPr="001321E9">
        <w:rPr>
          <w:rFonts w:asciiTheme="majorHAnsi" w:hAnsiTheme="majorHAnsi"/>
          <w:b/>
          <w:i/>
          <w:sz w:val="24"/>
          <w:szCs w:val="24"/>
          <w:u w:val="single"/>
          <w:lang w:val="en-US"/>
        </w:rPr>
        <w:t>internal</w:t>
      </w:r>
      <w:r>
        <w:rPr>
          <w:rFonts w:asciiTheme="majorHAnsi" w:hAnsiTheme="majorHAnsi"/>
          <w:b/>
          <w:sz w:val="24"/>
          <w:szCs w:val="24"/>
          <w:lang w:val="en-US"/>
        </w:rPr>
        <w:t xml:space="preserve"> self-determination</w:t>
      </w:r>
    </w:p>
    <w:p w:rsidR="006F0EA1" w:rsidRPr="006F0EA1" w:rsidRDefault="00AF7D2F" w:rsidP="006F0EA1">
      <w:pPr>
        <w:jc w:val="both"/>
        <w:rPr>
          <w:rFonts w:asciiTheme="majorHAnsi" w:hAnsiTheme="majorHAnsi"/>
          <w:sz w:val="24"/>
          <w:szCs w:val="24"/>
          <w:lang w:val="en-US"/>
        </w:rPr>
      </w:pPr>
      <w:r>
        <w:rPr>
          <w:rFonts w:asciiTheme="majorHAnsi" w:hAnsiTheme="majorHAnsi"/>
          <w:sz w:val="24"/>
          <w:szCs w:val="24"/>
          <w:lang w:val="en-US"/>
        </w:rPr>
        <w:t xml:space="preserve">«Internal self-determination means the right to authentic self-government, that is, the right for a people really and freely to choose its own political and economic regime – which is much more than choosing among what is on offer perhaps from one political or economic position only» (from Antonio Cassese, </w:t>
      </w:r>
      <w:r w:rsidRPr="00AF7D2F">
        <w:rPr>
          <w:rFonts w:asciiTheme="majorHAnsi" w:hAnsiTheme="majorHAnsi"/>
          <w:i/>
          <w:sz w:val="24"/>
          <w:szCs w:val="24"/>
          <w:lang w:val="en-US"/>
        </w:rPr>
        <w:t>Self-Determination of Peoples</w:t>
      </w:r>
      <w:r>
        <w:rPr>
          <w:rFonts w:asciiTheme="majorHAnsi" w:hAnsiTheme="majorHAnsi"/>
          <w:sz w:val="24"/>
          <w:szCs w:val="24"/>
          <w:lang w:val="en-US"/>
        </w:rPr>
        <w:t>, Cambridge University Press, 1995).</w:t>
      </w:r>
    </w:p>
    <w:p w:rsidR="00AF7D2F" w:rsidRDefault="00AF7D2F" w:rsidP="00BD441A">
      <w:pPr>
        <w:pStyle w:val="Paragrafoelenco"/>
        <w:numPr>
          <w:ilvl w:val="0"/>
          <w:numId w:val="1"/>
        </w:numPr>
        <w:jc w:val="both"/>
        <w:rPr>
          <w:rFonts w:asciiTheme="majorHAnsi" w:hAnsiTheme="majorHAnsi"/>
          <w:b/>
          <w:sz w:val="24"/>
          <w:szCs w:val="24"/>
          <w:lang w:val="en-US"/>
        </w:rPr>
      </w:pPr>
      <w:r>
        <w:rPr>
          <w:rFonts w:asciiTheme="majorHAnsi" w:hAnsiTheme="majorHAnsi"/>
          <w:b/>
          <w:sz w:val="24"/>
          <w:szCs w:val="24"/>
          <w:lang w:val="en-US"/>
        </w:rPr>
        <w:t>“Remedial secession”</w:t>
      </w:r>
    </w:p>
    <w:p w:rsidR="00AF7D2F" w:rsidRPr="006F0EA1" w:rsidRDefault="006F0EA1" w:rsidP="00AF7D2F">
      <w:pPr>
        <w:jc w:val="both"/>
        <w:rPr>
          <w:rFonts w:asciiTheme="majorHAnsi" w:hAnsiTheme="majorHAnsi"/>
          <w:sz w:val="24"/>
          <w:szCs w:val="24"/>
          <w:lang w:val="en-US"/>
        </w:rPr>
      </w:pPr>
      <w:r>
        <w:rPr>
          <w:rFonts w:asciiTheme="majorHAnsi" w:hAnsiTheme="majorHAnsi"/>
          <w:sz w:val="24"/>
          <w:szCs w:val="24"/>
          <w:lang w:val="en-US"/>
        </w:rPr>
        <w:t>The concept of “remedial secession”</w:t>
      </w:r>
      <w:r w:rsidR="001721B5">
        <w:rPr>
          <w:rFonts w:asciiTheme="majorHAnsi" w:hAnsiTheme="majorHAnsi"/>
          <w:sz w:val="24"/>
          <w:szCs w:val="24"/>
          <w:lang w:val="en-US"/>
        </w:rPr>
        <w:t xml:space="preserve"> implies a right of</w:t>
      </w:r>
      <w:r>
        <w:rPr>
          <w:rFonts w:asciiTheme="majorHAnsi" w:hAnsiTheme="majorHAnsi"/>
          <w:sz w:val="24"/>
          <w:szCs w:val="24"/>
          <w:lang w:val="en-US"/>
        </w:rPr>
        <w:t xml:space="preserve"> </w:t>
      </w:r>
      <w:r w:rsidRPr="001721B5">
        <w:rPr>
          <w:rFonts w:asciiTheme="majorHAnsi" w:hAnsiTheme="majorHAnsi"/>
          <w:i/>
          <w:sz w:val="24"/>
          <w:szCs w:val="24"/>
          <w:u w:val="single"/>
          <w:lang w:val="en-US"/>
        </w:rPr>
        <w:t>external</w:t>
      </w:r>
      <w:r>
        <w:rPr>
          <w:rFonts w:asciiTheme="majorHAnsi" w:hAnsiTheme="majorHAnsi"/>
          <w:sz w:val="24"/>
          <w:szCs w:val="24"/>
          <w:lang w:val="en-US"/>
        </w:rPr>
        <w:t xml:space="preserve"> self-determination under the following conditions: only in extreme circumstances, when the people concerned is continuously subjected to most severe forms of oppression (such as gross human rights violations and segregation)</w:t>
      </w:r>
      <w:r w:rsidR="001721B5">
        <w:rPr>
          <w:rFonts w:asciiTheme="majorHAnsi" w:hAnsiTheme="majorHAnsi"/>
          <w:sz w:val="24"/>
          <w:szCs w:val="24"/>
          <w:lang w:val="en-US"/>
        </w:rPr>
        <w:t>, that endanger</w:t>
      </w:r>
      <w:r w:rsidR="001321E9">
        <w:rPr>
          <w:rFonts w:asciiTheme="majorHAnsi" w:hAnsiTheme="majorHAnsi"/>
          <w:sz w:val="24"/>
          <w:szCs w:val="24"/>
          <w:lang w:val="en-US"/>
        </w:rPr>
        <w:t xml:space="preserve"> its very existence</w:t>
      </w:r>
      <w:r w:rsidR="001721B5">
        <w:rPr>
          <w:rFonts w:asciiTheme="majorHAnsi" w:hAnsiTheme="majorHAnsi"/>
          <w:sz w:val="24"/>
          <w:szCs w:val="24"/>
          <w:lang w:val="en-US"/>
        </w:rPr>
        <w:t xml:space="preserve">. It is thus conceived </w:t>
      </w:r>
      <w:r>
        <w:rPr>
          <w:rFonts w:asciiTheme="majorHAnsi" w:hAnsiTheme="majorHAnsi"/>
          <w:sz w:val="24"/>
          <w:szCs w:val="24"/>
          <w:lang w:val="en-US"/>
        </w:rPr>
        <w:t>as an extraordinary measure, applied when further coexistence within a single State has</w:t>
      </w:r>
      <w:r w:rsidR="001721B5">
        <w:rPr>
          <w:rFonts w:asciiTheme="majorHAnsi" w:hAnsiTheme="majorHAnsi"/>
          <w:sz w:val="24"/>
          <w:szCs w:val="24"/>
          <w:lang w:val="en-US"/>
        </w:rPr>
        <w:t xml:space="preserve"> become impossible </w:t>
      </w:r>
      <w:r w:rsidR="001721B5" w:rsidRPr="001721B5">
        <w:rPr>
          <w:rFonts w:asciiTheme="majorHAnsi" w:hAnsiTheme="majorHAnsi"/>
          <w:i/>
          <w:sz w:val="24"/>
          <w:szCs w:val="24"/>
          <w:u w:val="single"/>
          <w:lang w:val="en-US"/>
        </w:rPr>
        <w:t>and</w:t>
      </w:r>
      <w:r w:rsidR="001721B5">
        <w:rPr>
          <w:rFonts w:asciiTheme="majorHAnsi" w:hAnsiTheme="majorHAnsi"/>
          <w:sz w:val="24"/>
          <w:szCs w:val="24"/>
          <w:lang w:val="en-US"/>
        </w:rPr>
        <w:t xml:space="preserve"> </w:t>
      </w:r>
      <w:r>
        <w:rPr>
          <w:rFonts w:asciiTheme="majorHAnsi" w:hAnsiTheme="majorHAnsi"/>
          <w:sz w:val="24"/>
          <w:szCs w:val="24"/>
          <w:lang w:val="en-US"/>
        </w:rPr>
        <w:t>after all attempts to negotiate a settlement have failed. However, as was also noted by the International Court of Justice in its opinion</w:t>
      </w:r>
      <w:r w:rsidR="001321E9">
        <w:rPr>
          <w:rFonts w:asciiTheme="majorHAnsi" w:hAnsiTheme="majorHAnsi"/>
          <w:sz w:val="24"/>
          <w:szCs w:val="24"/>
          <w:lang w:val="en-US"/>
        </w:rPr>
        <w:t xml:space="preserve"> of 22 July 2010</w:t>
      </w:r>
      <w:r>
        <w:rPr>
          <w:rFonts w:asciiTheme="majorHAnsi" w:hAnsiTheme="majorHAnsi"/>
          <w:sz w:val="24"/>
          <w:szCs w:val="24"/>
          <w:lang w:val="en-US"/>
        </w:rPr>
        <w:t xml:space="preserve"> on the unilateral declaration of independence by Kosovo, within the international community still persist «radically different views» on the concept, so that i</w:t>
      </w:r>
      <w:r w:rsidR="001721B5">
        <w:rPr>
          <w:rFonts w:asciiTheme="majorHAnsi" w:hAnsiTheme="majorHAnsi"/>
          <w:sz w:val="24"/>
          <w:szCs w:val="24"/>
          <w:lang w:val="en-US"/>
        </w:rPr>
        <w:t>t can, at least for the time being, hardly be considered</w:t>
      </w:r>
      <w:r>
        <w:rPr>
          <w:rFonts w:asciiTheme="majorHAnsi" w:hAnsiTheme="majorHAnsi"/>
          <w:sz w:val="24"/>
          <w:szCs w:val="24"/>
          <w:lang w:val="en-US"/>
        </w:rPr>
        <w:t xml:space="preserve"> </w:t>
      </w:r>
      <w:r w:rsidR="001721B5">
        <w:rPr>
          <w:rFonts w:asciiTheme="majorHAnsi" w:hAnsiTheme="majorHAnsi"/>
          <w:sz w:val="24"/>
          <w:szCs w:val="24"/>
          <w:lang w:val="en-US"/>
        </w:rPr>
        <w:t xml:space="preserve">as </w:t>
      </w:r>
      <w:r>
        <w:rPr>
          <w:rFonts w:asciiTheme="majorHAnsi" w:hAnsiTheme="majorHAnsi"/>
          <w:sz w:val="24"/>
          <w:szCs w:val="24"/>
          <w:lang w:val="en-US"/>
        </w:rPr>
        <w:t>a customary norm.</w:t>
      </w:r>
    </w:p>
    <w:p w:rsidR="00B56973" w:rsidRPr="0062683D" w:rsidRDefault="00B56973" w:rsidP="00BD441A">
      <w:pPr>
        <w:pStyle w:val="Paragrafoelenco"/>
        <w:numPr>
          <w:ilvl w:val="0"/>
          <w:numId w:val="1"/>
        </w:numPr>
        <w:jc w:val="both"/>
        <w:rPr>
          <w:rFonts w:asciiTheme="majorHAnsi" w:hAnsiTheme="majorHAnsi"/>
          <w:b/>
          <w:sz w:val="24"/>
          <w:szCs w:val="24"/>
          <w:lang w:val="en-US"/>
        </w:rPr>
      </w:pPr>
      <w:r w:rsidRPr="0062683D">
        <w:rPr>
          <w:rFonts w:asciiTheme="majorHAnsi" w:hAnsiTheme="majorHAnsi"/>
          <w:b/>
          <w:sz w:val="24"/>
          <w:szCs w:val="24"/>
          <w:lang w:val="en-US"/>
        </w:rPr>
        <w:t>Positive obligations (and the horizontal dimension)</w:t>
      </w:r>
    </w:p>
    <w:p w:rsidR="00B56973" w:rsidRDefault="00B56973" w:rsidP="00BD441A">
      <w:pPr>
        <w:jc w:val="both"/>
        <w:rPr>
          <w:rFonts w:asciiTheme="majorHAnsi" w:hAnsiTheme="majorHAnsi"/>
          <w:sz w:val="24"/>
          <w:szCs w:val="24"/>
          <w:lang w:val="en-US"/>
        </w:rPr>
      </w:pPr>
      <w:r>
        <w:rPr>
          <w:rFonts w:asciiTheme="majorHAnsi" w:hAnsiTheme="majorHAnsi"/>
          <w:sz w:val="24"/>
          <w:szCs w:val="24"/>
          <w:lang w:val="en-US"/>
        </w:rPr>
        <w:t>Most human rights protection instruments (and their related mechanisms) no longer confine themselves to imposing negative obligations upon States (e.g. the pr</w:t>
      </w:r>
      <w:r w:rsidR="00BD441A">
        <w:rPr>
          <w:rFonts w:asciiTheme="majorHAnsi" w:hAnsiTheme="majorHAnsi"/>
          <w:sz w:val="24"/>
          <w:szCs w:val="24"/>
          <w:lang w:val="en-US"/>
        </w:rPr>
        <w:t xml:space="preserve">ohibition of torture), but </w:t>
      </w:r>
      <w:r>
        <w:rPr>
          <w:rFonts w:asciiTheme="majorHAnsi" w:hAnsiTheme="majorHAnsi"/>
          <w:sz w:val="24"/>
          <w:szCs w:val="24"/>
          <w:lang w:val="en-US"/>
        </w:rPr>
        <w:t>now entail</w:t>
      </w:r>
      <w:r w:rsidR="00BD441A">
        <w:rPr>
          <w:rFonts w:asciiTheme="majorHAnsi" w:hAnsiTheme="majorHAnsi"/>
          <w:sz w:val="24"/>
          <w:szCs w:val="24"/>
          <w:lang w:val="en-US"/>
        </w:rPr>
        <w:t xml:space="preserve"> </w:t>
      </w:r>
      <w:r>
        <w:rPr>
          <w:rFonts w:asciiTheme="majorHAnsi" w:hAnsiTheme="majorHAnsi"/>
          <w:sz w:val="24"/>
          <w:szCs w:val="24"/>
          <w:lang w:val="en-US"/>
        </w:rPr>
        <w:t>positive obligations</w:t>
      </w:r>
      <w:r w:rsidR="00BD441A">
        <w:rPr>
          <w:rFonts w:asciiTheme="majorHAnsi" w:hAnsiTheme="majorHAnsi"/>
          <w:sz w:val="24"/>
          <w:szCs w:val="24"/>
          <w:lang w:val="en-US"/>
        </w:rPr>
        <w:t xml:space="preserve"> as well</w:t>
      </w:r>
      <w:r>
        <w:rPr>
          <w:rFonts w:asciiTheme="majorHAnsi" w:hAnsiTheme="majorHAnsi"/>
          <w:sz w:val="24"/>
          <w:szCs w:val="24"/>
          <w:lang w:val="en-US"/>
        </w:rPr>
        <w:t xml:space="preserve"> (for example those arising with regard to the right to life and the prohibi</w:t>
      </w:r>
      <w:r w:rsidR="00BD441A">
        <w:rPr>
          <w:rFonts w:asciiTheme="majorHAnsi" w:hAnsiTheme="majorHAnsi"/>
          <w:sz w:val="24"/>
          <w:szCs w:val="24"/>
          <w:lang w:val="en-US"/>
        </w:rPr>
        <w:t>tion of torture; see the relevant</w:t>
      </w:r>
      <w:r>
        <w:rPr>
          <w:rFonts w:asciiTheme="majorHAnsi" w:hAnsiTheme="majorHAnsi"/>
          <w:sz w:val="24"/>
          <w:szCs w:val="24"/>
          <w:lang w:val="en-US"/>
        </w:rPr>
        <w:t xml:space="preserve"> slides).</w:t>
      </w:r>
    </w:p>
    <w:p w:rsidR="00B56973" w:rsidRPr="00B56973" w:rsidRDefault="00BD441A" w:rsidP="00BD441A">
      <w:pPr>
        <w:jc w:val="both"/>
        <w:rPr>
          <w:rFonts w:asciiTheme="majorHAnsi" w:hAnsiTheme="majorHAnsi"/>
          <w:sz w:val="24"/>
          <w:szCs w:val="24"/>
          <w:lang w:val="en-US"/>
        </w:rPr>
      </w:pPr>
      <w:r>
        <w:rPr>
          <w:rFonts w:asciiTheme="majorHAnsi" w:hAnsiTheme="majorHAnsi"/>
          <w:sz w:val="24"/>
          <w:szCs w:val="24"/>
          <w:lang w:val="en-US"/>
        </w:rPr>
        <w:lastRenderedPageBreak/>
        <w:t>Such</w:t>
      </w:r>
      <w:r w:rsidR="00B56973">
        <w:rPr>
          <w:rFonts w:asciiTheme="majorHAnsi" w:hAnsiTheme="majorHAnsi"/>
          <w:sz w:val="24"/>
          <w:szCs w:val="24"/>
          <w:lang w:val="en-US"/>
        </w:rPr>
        <w:t xml:space="preserve"> positive obligations now cover also the horizontal dimension, i.e. </w:t>
      </w:r>
      <w:r w:rsidR="004B77E4">
        <w:rPr>
          <w:rFonts w:asciiTheme="majorHAnsi" w:hAnsiTheme="majorHAnsi"/>
          <w:sz w:val="24"/>
          <w:szCs w:val="24"/>
          <w:lang w:val="en-US"/>
        </w:rPr>
        <w:t>acts that are imputable to non-State actors. In this area too States are obliged to take the necessary (positive) legislative and administrative measures aimed at protecting individuals under their jurisdiction from human rights violations by non-State actors. States are also oblig</w:t>
      </w:r>
      <w:r>
        <w:rPr>
          <w:rFonts w:asciiTheme="majorHAnsi" w:hAnsiTheme="majorHAnsi"/>
          <w:sz w:val="24"/>
          <w:szCs w:val="24"/>
          <w:lang w:val="en-US"/>
        </w:rPr>
        <w:t>ed to adopt effective protection</w:t>
      </w:r>
      <w:r w:rsidR="004B77E4">
        <w:rPr>
          <w:rFonts w:asciiTheme="majorHAnsi" w:hAnsiTheme="majorHAnsi"/>
          <w:sz w:val="24"/>
          <w:szCs w:val="24"/>
          <w:lang w:val="en-US"/>
        </w:rPr>
        <w:t xml:space="preserve"> measures when</w:t>
      </w:r>
      <w:r>
        <w:rPr>
          <w:rFonts w:asciiTheme="majorHAnsi" w:hAnsiTheme="majorHAnsi"/>
          <w:sz w:val="24"/>
          <w:szCs w:val="24"/>
          <w:lang w:val="en-US"/>
        </w:rPr>
        <w:t>ever</w:t>
      </w:r>
      <w:r w:rsidR="004B77E4">
        <w:rPr>
          <w:rFonts w:asciiTheme="majorHAnsi" w:hAnsiTheme="majorHAnsi"/>
          <w:sz w:val="24"/>
          <w:szCs w:val="24"/>
          <w:lang w:val="en-US"/>
        </w:rPr>
        <w:t xml:space="preserve"> individuals complain of a serious danger for their safety or life and to carry out an effective investigation if a violation of human rights </w:t>
      </w:r>
      <w:r w:rsidR="003F2213">
        <w:rPr>
          <w:rFonts w:asciiTheme="majorHAnsi" w:hAnsiTheme="majorHAnsi"/>
          <w:sz w:val="24"/>
          <w:szCs w:val="24"/>
          <w:lang w:val="en-US"/>
        </w:rPr>
        <w:t>h</w:t>
      </w:r>
      <w:r w:rsidR="004B77E4">
        <w:rPr>
          <w:rFonts w:asciiTheme="majorHAnsi" w:hAnsiTheme="majorHAnsi"/>
          <w:sz w:val="24"/>
          <w:szCs w:val="24"/>
          <w:lang w:val="en-US"/>
        </w:rPr>
        <w:t>as occurred. In this regard see among others the following leading case</w:t>
      </w:r>
      <w:r w:rsidR="003F2213">
        <w:rPr>
          <w:rFonts w:asciiTheme="majorHAnsi" w:hAnsiTheme="majorHAnsi"/>
          <w:sz w:val="24"/>
          <w:szCs w:val="24"/>
          <w:lang w:val="en-US"/>
        </w:rPr>
        <w:t>s</w:t>
      </w:r>
      <w:r w:rsidR="004B77E4">
        <w:rPr>
          <w:rFonts w:asciiTheme="majorHAnsi" w:hAnsiTheme="majorHAnsi"/>
          <w:sz w:val="24"/>
          <w:szCs w:val="24"/>
          <w:lang w:val="en-US"/>
        </w:rPr>
        <w:t xml:space="preserve"> decided by the European Court of Human Rights: </w:t>
      </w:r>
      <w:r w:rsidR="003F2213">
        <w:rPr>
          <w:rFonts w:asciiTheme="majorHAnsi" w:hAnsiTheme="majorHAnsi"/>
          <w:i/>
          <w:sz w:val="24"/>
          <w:szCs w:val="24"/>
          <w:lang w:val="en-US"/>
        </w:rPr>
        <w:t>X. and Y. v. t</w:t>
      </w:r>
      <w:r w:rsidR="004B77E4" w:rsidRPr="003F2213">
        <w:rPr>
          <w:rFonts w:asciiTheme="majorHAnsi" w:hAnsiTheme="majorHAnsi"/>
          <w:i/>
          <w:sz w:val="24"/>
          <w:szCs w:val="24"/>
          <w:lang w:val="en-US"/>
        </w:rPr>
        <w:t>he Netherlands</w:t>
      </w:r>
      <w:r w:rsidR="004B77E4">
        <w:rPr>
          <w:rFonts w:asciiTheme="majorHAnsi" w:hAnsiTheme="majorHAnsi"/>
          <w:sz w:val="24"/>
          <w:szCs w:val="24"/>
          <w:lang w:val="en-US"/>
        </w:rPr>
        <w:t>, judgment of 27 February 1</w:t>
      </w:r>
      <w:r w:rsidR="003C4A0B">
        <w:rPr>
          <w:rFonts w:asciiTheme="majorHAnsi" w:hAnsiTheme="majorHAnsi"/>
          <w:sz w:val="24"/>
          <w:szCs w:val="24"/>
          <w:lang w:val="en-US"/>
        </w:rPr>
        <w:t xml:space="preserve">985  </w:t>
      </w:r>
      <w:r w:rsidR="004B77E4">
        <w:rPr>
          <w:rFonts w:asciiTheme="majorHAnsi" w:hAnsiTheme="majorHAnsi"/>
          <w:sz w:val="24"/>
          <w:szCs w:val="24"/>
          <w:lang w:val="en-US"/>
        </w:rPr>
        <w:t>(</w:t>
      </w:r>
      <w:r w:rsidR="003C4A0B">
        <w:rPr>
          <w:rFonts w:asciiTheme="majorHAnsi" w:hAnsiTheme="majorHAnsi"/>
          <w:sz w:val="24"/>
          <w:szCs w:val="24"/>
          <w:lang w:val="en-US"/>
        </w:rPr>
        <w:t xml:space="preserve"> </w:t>
      </w:r>
      <w:r w:rsidR="003C4A0B" w:rsidRPr="003C4A0B">
        <w:rPr>
          <w:rFonts w:asciiTheme="majorHAnsi" w:hAnsiTheme="majorHAnsi"/>
          <w:sz w:val="24"/>
          <w:szCs w:val="24"/>
          <w:lang w:val="en-US"/>
        </w:rPr>
        <w:t>https://hudoc.echr.coe.int/eng#{"fulltext":["x and y netherlands"],"documentcollectionid2":["GRANDCHAMBER","CHAMBER"],"itemid":["001-57603"]}</w:t>
      </w:r>
      <w:r w:rsidR="003C4A0B">
        <w:rPr>
          <w:rFonts w:asciiTheme="majorHAnsi" w:hAnsiTheme="majorHAnsi"/>
          <w:sz w:val="24"/>
          <w:szCs w:val="24"/>
          <w:lang w:val="en-US"/>
        </w:rPr>
        <w:t xml:space="preserve">  )</w:t>
      </w:r>
      <w:r w:rsidR="004B77E4">
        <w:rPr>
          <w:rFonts w:asciiTheme="majorHAnsi" w:hAnsiTheme="majorHAnsi"/>
          <w:sz w:val="24"/>
          <w:szCs w:val="24"/>
          <w:lang w:val="en-US"/>
        </w:rPr>
        <w:t xml:space="preserve">  , </w:t>
      </w:r>
      <w:r w:rsidR="004B77E4" w:rsidRPr="003F2213">
        <w:rPr>
          <w:rFonts w:asciiTheme="majorHAnsi" w:hAnsiTheme="majorHAnsi"/>
          <w:i/>
          <w:sz w:val="24"/>
          <w:szCs w:val="24"/>
          <w:lang w:val="en-US"/>
        </w:rPr>
        <w:t>M.C. v. Bulgaria</w:t>
      </w:r>
      <w:r w:rsidR="004B77E4">
        <w:rPr>
          <w:rFonts w:asciiTheme="majorHAnsi" w:hAnsiTheme="majorHAnsi"/>
          <w:sz w:val="24"/>
          <w:szCs w:val="24"/>
          <w:lang w:val="en-US"/>
        </w:rPr>
        <w:t>, judgment of 4 December 2003 (</w:t>
      </w:r>
      <w:hyperlink r:id="rId9" w:anchor="{&quot;fulltext&quot;:[&quot;39272/98&quot;],&quot;itemid&quot;:[&quot;003-883968-908286&quot;]}" w:history="1">
        <w:r w:rsidR="003C4A0B" w:rsidRPr="00C335C5">
          <w:rPr>
            <w:rStyle w:val="Collegamentoipertestuale"/>
            <w:rFonts w:asciiTheme="majorHAnsi" w:hAnsiTheme="majorHAnsi"/>
            <w:sz w:val="24"/>
            <w:szCs w:val="24"/>
            <w:lang w:val="en-US"/>
          </w:rPr>
          <w:t>https://hudoc.echr.coe.int/eng-press#{"fulltext":["39272/98"],"itemid":["003-883968-908286"]}</w:t>
        </w:r>
      </w:hyperlink>
      <w:r w:rsidR="003C4A0B">
        <w:rPr>
          <w:rFonts w:asciiTheme="majorHAnsi" w:hAnsiTheme="majorHAnsi"/>
          <w:sz w:val="24"/>
          <w:szCs w:val="24"/>
          <w:lang w:val="en-US"/>
        </w:rPr>
        <w:t xml:space="preserve"> )</w:t>
      </w:r>
      <w:r w:rsidR="004B77E4">
        <w:rPr>
          <w:rFonts w:asciiTheme="majorHAnsi" w:hAnsiTheme="majorHAnsi"/>
          <w:sz w:val="24"/>
          <w:szCs w:val="24"/>
          <w:lang w:val="en-US"/>
        </w:rPr>
        <w:t xml:space="preserve">  , </w:t>
      </w:r>
      <w:proofErr w:type="spellStart"/>
      <w:r w:rsidR="004B77E4" w:rsidRPr="003F2213">
        <w:rPr>
          <w:rFonts w:asciiTheme="majorHAnsi" w:hAnsiTheme="majorHAnsi"/>
          <w:i/>
          <w:sz w:val="24"/>
          <w:szCs w:val="24"/>
          <w:lang w:val="en-US"/>
        </w:rPr>
        <w:t>Maiorano</w:t>
      </w:r>
      <w:proofErr w:type="spellEnd"/>
      <w:r w:rsidR="003F2213" w:rsidRPr="003F2213">
        <w:rPr>
          <w:rFonts w:asciiTheme="majorHAnsi" w:hAnsiTheme="majorHAnsi"/>
          <w:i/>
          <w:sz w:val="24"/>
          <w:szCs w:val="24"/>
          <w:lang w:val="en-US"/>
        </w:rPr>
        <w:t xml:space="preserve"> and Others</w:t>
      </w:r>
      <w:r w:rsidR="004B77E4">
        <w:rPr>
          <w:rFonts w:asciiTheme="majorHAnsi" w:hAnsiTheme="majorHAnsi"/>
          <w:sz w:val="24"/>
          <w:szCs w:val="24"/>
          <w:lang w:val="en-US"/>
        </w:rPr>
        <w:t xml:space="preserve"> </w:t>
      </w:r>
      <w:r w:rsidR="004B77E4" w:rsidRPr="003F2213">
        <w:rPr>
          <w:rFonts w:asciiTheme="majorHAnsi" w:hAnsiTheme="majorHAnsi"/>
          <w:i/>
          <w:sz w:val="24"/>
          <w:szCs w:val="24"/>
          <w:lang w:val="en-US"/>
        </w:rPr>
        <w:t>v. Italy</w:t>
      </w:r>
      <w:r w:rsidR="004B77E4">
        <w:rPr>
          <w:rFonts w:asciiTheme="majorHAnsi" w:hAnsiTheme="majorHAnsi"/>
          <w:sz w:val="24"/>
          <w:szCs w:val="24"/>
          <w:lang w:val="en-US"/>
        </w:rPr>
        <w:t xml:space="preserve">, judgment of </w:t>
      </w:r>
      <w:r w:rsidR="003C4A0B">
        <w:rPr>
          <w:rFonts w:asciiTheme="majorHAnsi" w:hAnsiTheme="majorHAnsi"/>
          <w:sz w:val="24"/>
          <w:szCs w:val="24"/>
          <w:lang w:val="en-US"/>
        </w:rPr>
        <w:t xml:space="preserve">15 December 2009 ( </w:t>
      </w:r>
      <w:hyperlink r:id="rId10" w:anchor="{&quot;fulltext&quot;:[&quot;maiorano&quot;],&quot;itemid&quot;:[&quot;003-2969914-3270642&quot;]}" w:history="1">
        <w:r w:rsidR="003C4A0B" w:rsidRPr="00C335C5">
          <w:rPr>
            <w:rStyle w:val="Collegamentoipertestuale"/>
            <w:rFonts w:asciiTheme="majorHAnsi" w:hAnsiTheme="majorHAnsi"/>
            <w:sz w:val="24"/>
            <w:szCs w:val="24"/>
            <w:lang w:val="en-US"/>
          </w:rPr>
          <w:t>https://hudoc.echr.coe.int/eng-press#{"fulltext":["maiorano"],"itemid":["003-2969914-3270642"]}</w:t>
        </w:r>
      </w:hyperlink>
      <w:r w:rsidR="003C4A0B">
        <w:rPr>
          <w:rFonts w:asciiTheme="majorHAnsi" w:hAnsiTheme="majorHAnsi"/>
          <w:sz w:val="24"/>
          <w:szCs w:val="24"/>
          <w:lang w:val="en-US"/>
        </w:rPr>
        <w:t xml:space="preserve"> ).</w:t>
      </w:r>
    </w:p>
    <w:p w:rsidR="008231D9" w:rsidRPr="0062683D" w:rsidRDefault="008231D9" w:rsidP="00BD441A">
      <w:pPr>
        <w:pStyle w:val="Paragrafoelenco"/>
        <w:numPr>
          <w:ilvl w:val="0"/>
          <w:numId w:val="1"/>
        </w:numPr>
        <w:jc w:val="both"/>
        <w:rPr>
          <w:rFonts w:asciiTheme="majorHAnsi" w:hAnsiTheme="majorHAnsi"/>
          <w:b/>
          <w:sz w:val="24"/>
          <w:szCs w:val="24"/>
          <w:lang w:val="en-US"/>
        </w:rPr>
      </w:pPr>
      <w:r w:rsidRPr="0062683D">
        <w:rPr>
          <w:rFonts w:asciiTheme="majorHAnsi" w:hAnsiTheme="majorHAnsi"/>
          <w:b/>
          <w:sz w:val="24"/>
          <w:szCs w:val="24"/>
          <w:lang w:val="en-US"/>
        </w:rPr>
        <w:t>Right to life</w:t>
      </w:r>
    </w:p>
    <w:p w:rsidR="008231D9" w:rsidRDefault="004677DA" w:rsidP="008231D9">
      <w:pPr>
        <w:jc w:val="both"/>
        <w:rPr>
          <w:rFonts w:asciiTheme="majorHAnsi" w:hAnsiTheme="majorHAnsi"/>
          <w:sz w:val="24"/>
          <w:szCs w:val="24"/>
          <w:lang w:val="en-US"/>
        </w:rPr>
      </w:pPr>
      <w:r w:rsidRPr="004677DA">
        <w:rPr>
          <w:rFonts w:asciiTheme="majorHAnsi" w:hAnsiTheme="majorHAnsi"/>
          <w:sz w:val="24"/>
          <w:szCs w:val="24"/>
          <w:u w:val="single"/>
          <w:lang w:val="en-US"/>
        </w:rPr>
        <w:t>Key principles</w:t>
      </w:r>
      <w:r>
        <w:rPr>
          <w:rFonts w:asciiTheme="majorHAnsi" w:hAnsiTheme="majorHAnsi"/>
          <w:sz w:val="24"/>
          <w:szCs w:val="24"/>
          <w:lang w:val="en-US"/>
        </w:rPr>
        <w:t xml:space="preserve">, from the case-law of the European Court of Human Rights, concerning </w:t>
      </w:r>
      <w:r w:rsidR="008231D9" w:rsidRPr="008231D9">
        <w:rPr>
          <w:rFonts w:asciiTheme="majorHAnsi" w:hAnsiTheme="majorHAnsi"/>
          <w:sz w:val="24"/>
          <w:szCs w:val="24"/>
          <w:lang w:val="en-US"/>
        </w:rPr>
        <w:t xml:space="preserve">the </w:t>
      </w:r>
      <w:r w:rsidR="008231D9">
        <w:rPr>
          <w:rFonts w:asciiTheme="majorHAnsi" w:hAnsiTheme="majorHAnsi"/>
          <w:sz w:val="24"/>
          <w:szCs w:val="24"/>
          <w:lang w:val="en-US"/>
        </w:rPr>
        <w:t>scope of the right to life</w:t>
      </w:r>
      <w:r>
        <w:rPr>
          <w:rFonts w:asciiTheme="majorHAnsi" w:hAnsiTheme="majorHAnsi"/>
          <w:sz w:val="24"/>
          <w:szCs w:val="24"/>
          <w:lang w:val="en-US"/>
        </w:rPr>
        <w:t xml:space="preserve"> (Article 2 of the European Convention on Human Rights)</w:t>
      </w:r>
      <w:r w:rsidR="008231D9">
        <w:rPr>
          <w:rFonts w:asciiTheme="majorHAnsi" w:hAnsiTheme="majorHAnsi"/>
          <w:sz w:val="24"/>
          <w:szCs w:val="24"/>
          <w:lang w:val="en-US"/>
        </w:rPr>
        <w:t xml:space="preserve"> and the meaning of the limitation according to which nobody can be deprived of one’s life unless </w:t>
      </w:r>
      <w:r w:rsidR="009B4551">
        <w:rPr>
          <w:rFonts w:asciiTheme="majorHAnsi" w:hAnsiTheme="majorHAnsi"/>
          <w:sz w:val="24"/>
          <w:szCs w:val="24"/>
          <w:lang w:val="en-US"/>
        </w:rPr>
        <w:t xml:space="preserve">the </w:t>
      </w:r>
      <w:r w:rsidR="008231D9">
        <w:rPr>
          <w:rFonts w:asciiTheme="majorHAnsi" w:hAnsiTheme="majorHAnsi"/>
          <w:sz w:val="24"/>
          <w:szCs w:val="24"/>
          <w:lang w:val="en-US"/>
        </w:rPr>
        <w:t xml:space="preserve">use of lethal </w:t>
      </w:r>
      <w:r>
        <w:rPr>
          <w:rFonts w:asciiTheme="majorHAnsi" w:hAnsiTheme="majorHAnsi"/>
          <w:sz w:val="24"/>
          <w:szCs w:val="24"/>
          <w:lang w:val="en-US"/>
        </w:rPr>
        <w:t>fo</w:t>
      </w:r>
      <w:r w:rsidR="00495EE3">
        <w:rPr>
          <w:rFonts w:asciiTheme="majorHAnsi" w:hAnsiTheme="majorHAnsi"/>
          <w:sz w:val="24"/>
          <w:szCs w:val="24"/>
          <w:lang w:val="en-US"/>
        </w:rPr>
        <w:t>rce is “absolutely necessary” (t</w:t>
      </w:r>
      <w:r>
        <w:rPr>
          <w:rFonts w:asciiTheme="majorHAnsi" w:hAnsiTheme="majorHAnsi"/>
          <w:sz w:val="24"/>
          <w:szCs w:val="24"/>
          <w:lang w:val="en-US"/>
        </w:rPr>
        <w:t>he other international human rights courts and treaty-bodies apply analogous criteria in this area</w:t>
      </w:r>
      <w:r w:rsidR="00495EE3">
        <w:rPr>
          <w:rFonts w:asciiTheme="majorHAnsi" w:hAnsiTheme="majorHAnsi"/>
          <w:sz w:val="24"/>
          <w:szCs w:val="24"/>
          <w:lang w:val="en-US"/>
        </w:rPr>
        <w:t>)</w:t>
      </w:r>
      <w:r>
        <w:rPr>
          <w:rFonts w:asciiTheme="majorHAnsi" w:hAnsiTheme="majorHAnsi"/>
          <w:sz w:val="24"/>
          <w:szCs w:val="24"/>
          <w:lang w:val="en-US"/>
        </w:rPr>
        <w:t>.</w:t>
      </w:r>
    </w:p>
    <w:p w:rsidR="004677DA" w:rsidRPr="004677DA" w:rsidRDefault="004677DA" w:rsidP="004677DA">
      <w:pPr>
        <w:jc w:val="both"/>
        <w:rPr>
          <w:rFonts w:asciiTheme="majorHAnsi" w:hAnsiTheme="majorHAnsi"/>
          <w:sz w:val="24"/>
          <w:szCs w:val="24"/>
          <w:lang w:val="en-US"/>
        </w:rPr>
      </w:pPr>
      <w:r>
        <w:rPr>
          <w:rFonts w:asciiTheme="majorHAnsi" w:hAnsiTheme="majorHAnsi"/>
          <w:sz w:val="24"/>
          <w:szCs w:val="24"/>
          <w:lang w:val="en-US"/>
        </w:rPr>
        <w:t>«</w:t>
      </w:r>
      <w:r w:rsidRPr="004677DA">
        <w:rPr>
          <w:rFonts w:asciiTheme="majorHAnsi" w:hAnsiTheme="majorHAnsi"/>
          <w:sz w:val="24"/>
          <w:szCs w:val="24"/>
          <w:lang w:val="en-US"/>
        </w:rPr>
        <w:t>Article 2 covers not only intentional killing but also the situations where it is permitted to “use force” which may result, as an unintended outcome, in the deprivation of life. The deliberate or intended use of lethal force is, however, only one factor to be taken into account in assessing its necessity. Any use of force must be no more than “absolutely necessary” for the achievement of one or more of the purposes set out in sub-paragraphs (a) to (c). (…) Consequently, the force used must be strictly proportionate to the achievement of the permitted aims.</w:t>
      </w:r>
    </w:p>
    <w:p w:rsidR="004677DA" w:rsidRDefault="004677DA" w:rsidP="004677DA">
      <w:pPr>
        <w:jc w:val="both"/>
        <w:rPr>
          <w:rFonts w:asciiTheme="majorHAnsi" w:hAnsiTheme="majorHAnsi"/>
          <w:sz w:val="24"/>
          <w:szCs w:val="24"/>
          <w:lang w:val="en-US"/>
        </w:rPr>
      </w:pPr>
      <w:r w:rsidRPr="004677DA">
        <w:rPr>
          <w:rFonts w:asciiTheme="majorHAnsi" w:hAnsiTheme="majorHAnsi"/>
          <w:sz w:val="24"/>
          <w:szCs w:val="24"/>
          <w:lang w:val="en-US"/>
        </w:rPr>
        <w:t xml:space="preserve">(I)n determining whether the force used was compatible with Article 2 (art. 2), the Court must carefully </w:t>
      </w:r>
      <w:proofErr w:type="spellStart"/>
      <w:r w:rsidRPr="004677DA">
        <w:rPr>
          <w:rFonts w:asciiTheme="majorHAnsi" w:hAnsiTheme="majorHAnsi"/>
          <w:sz w:val="24"/>
          <w:szCs w:val="24"/>
          <w:lang w:val="en-US"/>
        </w:rPr>
        <w:t>scrutinise</w:t>
      </w:r>
      <w:proofErr w:type="spellEnd"/>
      <w:r w:rsidRPr="004677DA">
        <w:rPr>
          <w:rFonts w:asciiTheme="majorHAnsi" w:hAnsiTheme="majorHAnsi"/>
          <w:sz w:val="24"/>
          <w:szCs w:val="24"/>
          <w:lang w:val="en-US"/>
        </w:rPr>
        <w:t xml:space="preserve">, as noted above, not only whether the force used by the soldiers was strictly proportionate to the aim of protecting persons against unlawful violence but also whether the anti-terrorist operation was planned and controlled by the authorities so as to </w:t>
      </w:r>
      <w:proofErr w:type="spellStart"/>
      <w:r w:rsidRPr="004677DA">
        <w:rPr>
          <w:rFonts w:asciiTheme="majorHAnsi" w:hAnsiTheme="majorHAnsi"/>
          <w:sz w:val="24"/>
          <w:szCs w:val="24"/>
          <w:lang w:val="en-US"/>
        </w:rPr>
        <w:t>minimise</w:t>
      </w:r>
      <w:proofErr w:type="spellEnd"/>
      <w:r w:rsidRPr="004677DA">
        <w:rPr>
          <w:rFonts w:asciiTheme="majorHAnsi" w:hAnsiTheme="majorHAnsi"/>
          <w:sz w:val="24"/>
          <w:szCs w:val="24"/>
          <w:lang w:val="en-US"/>
        </w:rPr>
        <w:t>, to the greatest extent pos</w:t>
      </w:r>
      <w:r>
        <w:rPr>
          <w:rFonts w:asciiTheme="majorHAnsi" w:hAnsiTheme="majorHAnsi"/>
          <w:sz w:val="24"/>
          <w:szCs w:val="24"/>
          <w:lang w:val="en-US"/>
        </w:rPr>
        <w:t>sible, recourse to lethal force», including the information and the instructions given to the soldiers.</w:t>
      </w:r>
    </w:p>
    <w:p w:rsidR="008231D9" w:rsidRDefault="004677DA" w:rsidP="008231D9">
      <w:pPr>
        <w:jc w:val="both"/>
        <w:rPr>
          <w:rFonts w:asciiTheme="majorHAnsi" w:hAnsiTheme="majorHAnsi"/>
          <w:sz w:val="24"/>
          <w:szCs w:val="24"/>
          <w:lang w:val="en-US"/>
        </w:rPr>
      </w:pPr>
      <w:r>
        <w:rPr>
          <w:rFonts w:asciiTheme="majorHAnsi" w:hAnsiTheme="majorHAnsi"/>
          <w:sz w:val="24"/>
          <w:szCs w:val="24"/>
          <w:lang w:val="en-US"/>
        </w:rPr>
        <w:t>(</w:t>
      </w:r>
      <w:r w:rsidR="008231D9" w:rsidRPr="0062683D">
        <w:rPr>
          <w:rFonts w:asciiTheme="majorHAnsi" w:hAnsiTheme="majorHAnsi"/>
          <w:i/>
          <w:sz w:val="24"/>
          <w:szCs w:val="24"/>
          <w:lang w:val="en-US"/>
        </w:rPr>
        <w:t>McCann and Others v. the United Kingdom</w:t>
      </w:r>
      <w:r w:rsidR="008231D9">
        <w:rPr>
          <w:rFonts w:asciiTheme="majorHAnsi" w:hAnsiTheme="majorHAnsi"/>
          <w:sz w:val="24"/>
          <w:szCs w:val="24"/>
          <w:lang w:val="en-US"/>
        </w:rPr>
        <w:t xml:space="preserve"> judgment of 27 September 1</w:t>
      </w:r>
      <w:r w:rsidR="0062683D">
        <w:rPr>
          <w:rFonts w:asciiTheme="majorHAnsi" w:hAnsiTheme="majorHAnsi"/>
          <w:sz w:val="24"/>
          <w:szCs w:val="24"/>
          <w:lang w:val="en-US"/>
        </w:rPr>
        <w:t>995</w:t>
      </w:r>
      <w:r>
        <w:rPr>
          <w:rFonts w:asciiTheme="majorHAnsi" w:hAnsiTheme="majorHAnsi"/>
          <w:sz w:val="24"/>
          <w:szCs w:val="24"/>
          <w:lang w:val="en-US"/>
        </w:rPr>
        <w:t xml:space="preserve">, </w:t>
      </w:r>
      <w:r w:rsidRPr="004677DA">
        <w:rPr>
          <w:rFonts w:asciiTheme="majorHAnsi" w:hAnsiTheme="majorHAnsi"/>
          <w:sz w:val="24"/>
          <w:szCs w:val="24"/>
          <w:lang w:val="en-US"/>
        </w:rPr>
        <w:t xml:space="preserve">concerning an anti-terrorist operation in Gibraltar, </w:t>
      </w:r>
      <w:r>
        <w:rPr>
          <w:rFonts w:asciiTheme="majorHAnsi" w:hAnsiTheme="majorHAnsi"/>
          <w:sz w:val="24"/>
          <w:szCs w:val="24"/>
          <w:lang w:val="en-US"/>
        </w:rPr>
        <w:t xml:space="preserve">paras. 192-194 and 201; </w:t>
      </w:r>
      <w:r w:rsidR="0062683D">
        <w:rPr>
          <w:rFonts w:asciiTheme="majorHAnsi" w:hAnsiTheme="majorHAnsi"/>
          <w:sz w:val="24"/>
          <w:szCs w:val="24"/>
          <w:lang w:val="en-US"/>
        </w:rPr>
        <w:t xml:space="preserve">read the summary at: </w:t>
      </w:r>
      <w:hyperlink r:id="rId11" w:anchor="{&quot;itemid&quot;:[&quot;002-10101&quot;]}" w:history="1">
        <w:r w:rsidR="0062683D" w:rsidRPr="005D30CB">
          <w:rPr>
            <w:rStyle w:val="Collegamentoipertestuale"/>
            <w:rFonts w:asciiTheme="majorHAnsi" w:hAnsiTheme="majorHAnsi"/>
            <w:sz w:val="24"/>
            <w:szCs w:val="24"/>
            <w:lang w:val="en-US"/>
          </w:rPr>
          <w:t>https://hudoc.echr.coe.int/eng#{"itemid":["002-10101"]}</w:t>
        </w:r>
      </w:hyperlink>
      <w:r w:rsidR="0062683D">
        <w:rPr>
          <w:rFonts w:asciiTheme="majorHAnsi" w:hAnsiTheme="majorHAnsi"/>
          <w:sz w:val="24"/>
          <w:szCs w:val="24"/>
          <w:lang w:val="en-US"/>
        </w:rPr>
        <w:t xml:space="preserve"> ; </w:t>
      </w:r>
      <w:r w:rsidR="008231D9">
        <w:rPr>
          <w:rFonts w:asciiTheme="majorHAnsi" w:hAnsiTheme="majorHAnsi"/>
          <w:sz w:val="24"/>
          <w:szCs w:val="24"/>
          <w:lang w:val="en-US"/>
        </w:rPr>
        <w:t xml:space="preserve">full text at </w:t>
      </w:r>
      <w:r w:rsidR="008231D9" w:rsidRPr="008231D9">
        <w:rPr>
          <w:rFonts w:asciiTheme="majorHAnsi" w:hAnsiTheme="majorHAnsi"/>
          <w:sz w:val="24"/>
          <w:szCs w:val="24"/>
          <w:lang w:val="en-US"/>
        </w:rPr>
        <w:t xml:space="preserve">https://hudoc.echr.coe.int/eng#{"fulltext":["\"CASE OF </w:t>
      </w:r>
      <w:proofErr w:type="spellStart"/>
      <w:r w:rsidR="008231D9" w:rsidRPr="008231D9">
        <w:rPr>
          <w:rFonts w:asciiTheme="majorHAnsi" w:hAnsiTheme="majorHAnsi"/>
          <w:sz w:val="24"/>
          <w:szCs w:val="24"/>
          <w:lang w:val="en-US"/>
        </w:rPr>
        <w:t>McCANN</w:t>
      </w:r>
      <w:proofErr w:type="spellEnd"/>
      <w:r w:rsidR="008231D9" w:rsidRPr="008231D9">
        <w:rPr>
          <w:rFonts w:asciiTheme="majorHAnsi" w:hAnsiTheme="majorHAnsi"/>
          <w:sz w:val="24"/>
          <w:szCs w:val="24"/>
          <w:lang w:val="en-US"/>
        </w:rPr>
        <w:t xml:space="preserve"> and others v. THE UNITED KINGDOM\""],"documentcollectionid2":["GRANDCHAMBER","CHAMBER"],"itemid":["001-57943"]}</w:t>
      </w:r>
      <w:r>
        <w:rPr>
          <w:rFonts w:asciiTheme="majorHAnsi" w:hAnsiTheme="majorHAnsi"/>
          <w:sz w:val="24"/>
          <w:szCs w:val="24"/>
          <w:lang w:val="en-US"/>
        </w:rPr>
        <w:t xml:space="preserve"> ).</w:t>
      </w:r>
      <w:r w:rsidR="008231D9">
        <w:rPr>
          <w:rFonts w:asciiTheme="majorHAnsi" w:hAnsiTheme="majorHAnsi"/>
          <w:sz w:val="24"/>
          <w:szCs w:val="24"/>
          <w:lang w:val="en-US"/>
        </w:rPr>
        <w:t xml:space="preserve"> </w:t>
      </w:r>
    </w:p>
    <w:p w:rsidR="004677DA" w:rsidRPr="004677DA" w:rsidRDefault="004677DA" w:rsidP="004677DA">
      <w:pPr>
        <w:jc w:val="both"/>
        <w:rPr>
          <w:rFonts w:asciiTheme="majorHAnsi" w:hAnsiTheme="majorHAnsi"/>
          <w:sz w:val="24"/>
          <w:szCs w:val="24"/>
          <w:lang w:val="en-US"/>
        </w:rPr>
      </w:pPr>
      <w:r w:rsidRPr="004677DA">
        <w:rPr>
          <w:rFonts w:asciiTheme="majorHAnsi" w:hAnsiTheme="majorHAnsi"/>
          <w:sz w:val="24"/>
          <w:szCs w:val="24"/>
          <w:u w:val="single"/>
          <w:lang w:val="en-US"/>
        </w:rPr>
        <w:t>Corollaries</w:t>
      </w:r>
      <w:r w:rsidRPr="004677DA">
        <w:rPr>
          <w:rFonts w:asciiTheme="majorHAnsi" w:hAnsiTheme="majorHAnsi"/>
          <w:sz w:val="24"/>
          <w:szCs w:val="24"/>
          <w:lang w:val="en-US"/>
        </w:rPr>
        <w:t>:</w:t>
      </w:r>
    </w:p>
    <w:p w:rsidR="004677DA" w:rsidRPr="004677DA" w:rsidRDefault="004677DA" w:rsidP="004677DA">
      <w:pPr>
        <w:jc w:val="both"/>
        <w:rPr>
          <w:rFonts w:asciiTheme="majorHAnsi" w:hAnsiTheme="majorHAnsi"/>
          <w:sz w:val="24"/>
          <w:szCs w:val="24"/>
          <w:lang w:val="en-US"/>
        </w:rPr>
      </w:pPr>
      <w:r w:rsidRPr="004677DA">
        <w:rPr>
          <w:rFonts w:asciiTheme="majorHAnsi" w:hAnsiTheme="majorHAnsi"/>
          <w:sz w:val="24"/>
          <w:szCs w:val="24"/>
          <w:lang w:val="en-US"/>
        </w:rPr>
        <w:lastRenderedPageBreak/>
        <w:t>The authorities must take appropriate care to ensure that any risk to life</w:t>
      </w:r>
      <w:r w:rsidR="00495EE3">
        <w:rPr>
          <w:rFonts w:asciiTheme="majorHAnsi" w:hAnsiTheme="majorHAnsi"/>
          <w:sz w:val="24"/>
          <w:szCs w:val="24"/>
          <w:lang w:val="en-US"/>
        </w:rPr>
        <w:t xml:space="preserve"> (also as a result of</w:t>
      </w:r>
      <w:r w:rsidRPr="004677DA">
        <w:rPr>
          <w:rFonts w:asciiTheme="majorHAnsi" w:hAnsiTheme="majorHAnsi"/>
          <w:sz w:val="24"/>
          <w:szCs w:val="24"/>
          <w:lang w:val="en-US"/>
        </w:rPr>
        <w:t xml:space="preserve"> </w:t>
      </w:r>
      <w:r w:rsidR="00495EE3">
        <w:rPr>
          <w:rFonts w:asciiTheme="majorHAnsi" w:hAnsiTheme="majorHAnsi"/>
          <w:sz w:val="24"/>
          <w:szCs w:val="24"/>
          <w:lang w:val="en-US"/>
        </w:rPr>
        <w:t xml:space="preserve">collateral damage) </w:t>
      </w:r>
      <w:r w:rsidRPr="004677DA">
        <w:rPr>
          <w:rFonts w:asciiTheme="majorHAnsi" w:hAnsiTheme="majorHAnsi"/>
          <w:sz w:val="24"/>
          <w:szCs w:val="24"/>
          <w:lang w:val="en-US"/>
        </w:rPr>
        <w:t xml:space="preserve">is </w:t>
      </w:r>
      <w:proofErr w:type="spellStart"/>
      <w:r w:rsidRPr="004677DA">
        <w:rPr>
          <w:rFonts w:asciiTheme="majorHAnsi" w:hAnsiTheme="majorHAnsi"/>
          <w:sz w:val="24"/>
          <w:szCs w:val="24"/>
          <w:lang w:val="en-US"/>
        </w:rPr>
        <w:t>minimi</w:t>
      </w:r>
      <w:r w:rsidR="00495EE3">
        <w:rPr>
          <w:rFonts w:asciiTheme="majorHAnsi" w:hAnsiTheme="majorHAnsi"/>
          <w:sz w:val="24"/>
          <w:szCs w:val="24"/>
          <w:lang w:val="en-US"/>
        </w:rPr>
        <w:t>sed</w:t>
      </w:r>
      <w:proofErr w:type="spellEnd"/>
      <w:r w:rsidR="00495EE3">
        <w:rPr>
          <w:rFonts w:asciiTheme="majorHAnsi" w:hAnsiTheme="majorHAnsi"/>
          <w:sz w:val="24"/>
          <w:szCs w:val="24"/>
          <w:lang w:val="en-US"/>
        </w:rPr>
        <w:t>. This implies assessing</w:t>
      </w:r>
      <w:r w:rsidRPr="004677DA">
        <w:rPr>
          <w:rFonts w:asciiTheme="majorHAnsi" w:hAnsiTheme="majorHAnsi"/>
          <w:sz w:val="24"/>
          <w:szCs w:val="24"/>
          <w:lang w:val="en-US"/>
        </w:rPr>
        <w:t xml:space="preserve"> whether the authorities were not negligent in their </w:t>
      </w:r>
      <w:r w:rsidRPr="004677DA">
        <w:rPr>
          <w:rFonts w:asciiTheme="majorHAnsi" w:hAnsiTheme="majorHAnsi"/>
          <w:sz w:val="24"/>
          <w:szCs w:val="24"/>
          <w:u w:val="single"/>
          <w:lang w:val="en-US"/>
        </w:rPr>
        <w:t>choice of action</w:t>
      </w:r>
      <w:r w:rsidR="00495EE3">
        <w:rPr>
          <w:rFonts w:asciiTheme="majorHAnsi" w:hAnsiTheme="majorHAnsi"/>
          <w:sz w:val="24"/>
          <w:szCs w:val="24"/>
          <w:u w:val="single"/>
          <w:lang w:val="en-US"/>
        </w:rPr>
        <w:t xml:space="preserve"> and weapons</w:t>
      </w:r>
      <w:r w:rsidRPr="004677DA">
        <w:rPr>
          <w:rFonts w:asciiTheme="majorHAnsi" w:hAnsiTheme="majorHAnsi"/>
          <w:sz w:val="24"/>
          <w:szCs w:val="24"/>
          <w:lang w:val="en-US"/>
        </w:rPr>
        <w:t xml:space="preserve">. </w:t>
      </w:r>
    </w:p>
    <w:p w:rsidR="004677DA" w:rsidRPr="004677DA" w:rsidRDefault="005D4E4B" w:rsidP="004677DA">
      <w:pPr>
        <w:jc w:val="both"/>
        <w:rPr>
          <w:rFonts w:asciiTheme="majorHAnsi" w:hAnsiTheme="majorHAnsi"/>
          <w:sz w:val="24"/>
          <w:szCs w:val="24"/>
          <w:lang w:val="en-US"/>
        </w:rPr>
      </w:pPr>
      <w:r w:rsidRPr="005D4E4B">
        <w:rPr>
          <w:rFonts w:asciiTheme="majorHAnsi" w:hAnsiTheme="majorHAnsi"/>
          <w:sz w:val="24"/>
          <w:szCs w:val="24"/>
          <w:lang w:val="en-US"/>
        </w:rPr>
        <w:t xml:space="preserve">In the </w:t>
      </w:r>
      <w:proofErr w:type="spellStart"/>
      <w:r w:rsidRPr="005D4E4B">
        <w:rPr>
          <w:rFonts w:asciiTheme="majorHAnsi" w:hAnsiTheme="majorHAnsi"/>
          <w:i/>
          <w:sz w:val="24"/>
          <w:szCs w:val="24"/>
          <w:lang w:val="en-US"/>
        </w:rPr>
        <w:t>Isayeva</w:t>
      </w:r>
      <w:proofErr w:type="spellEnd"/>
      <w:r w:rsidRPr="005D4E4B">
        <w:rPr>
          <w:rFonts w:asciiTheme="majorHAnsi" w:hAnsiTheme="majorHAnsi"/>
          <w:i/>
          <w:sz w:val="24"/>
          <w:szCs w:val="24"/>
          <w:lang w:val="en-US"/>
        </w:rPr>
        <w:t xml:space="preserve"> and Others v. Russia</w:t>
      </w:r>
      <w:r w:rsidRPr="005D4E4B">
        <w:rPr>
          <w:rFonts w:asciiTheme="majorHAnsi" w:hAnsiTheme="majorHAnsi"/>
          <w:sz w:val="24"/>
          <w:szCs w:val="24"/>
          <w:lang w:val="en-US"/>
        </w:rPr>
        <w:t xml:space="preserve"> judgmen</w:t>
      </w:r>
      <w:r w:rsidR="0060164E">
        <w:rPr>
          <w:rFonts w:asciiTheme="majorHAnsi" w:hAnsiTheme="majorHAnsi"/>
          <w:sz w:val="24"/>
          <w:szCs w:val="24"/>
          <w:lang w:val="en-US"/>
        </w:rPr>
        <w:t>t of 24 February 2005 (</w:t>
      </w:r>
      <w:r w:rsidRPr="005D4E4B">
        <w:rPr>
          <w:rFonts w:asciiTheme="majorHAnsi" w:hAnsiTheme="majorHAnsi"/>
          <w:sz w:val="24"/>
          <w:szCs w:val="24"/>
          <w:lang w:val="en-US"/>
        </w:rPr>
        <w:t>summary of the judgment at file:///C:/Users/Papi/Downloads/Chamber%20judgments%20concerning%20Russia%2024.02.05.pdf ), concerning one of the military operations in Chechnya</w:t>
      </w:r>
      <w:r>
        <w:rPr>
          <w:rFonts w:asciiTheme="majorHAnsi" w:hAnsiTheme="majorHAnsi"/>
          <w:sz w:val="24"/>
          <w:szCs w:val="24"/>
          <w:lang w:val="en-US"/>
        </w:rPr>
        <w:t xml:space="preserve">, </w:t>
      </w:r>
      <w:r w:rsidR="00495EE3">
        <w:rPr>
          <w:rFonts w:asciiTheme="majorHAnsi" w:hAnsiTheme="majorHAnsi"/>
          <w:sz w:val="24"/>
          <w:szCs w:val="24"/>
          <w:lang w:val="en-US"/>
        </w:rPr>
        <w:t>twelve</w:t>
      </w:r>
      <w:r w:rsidR="004677DA" w:rsidRPr="004677DA">
        <w:rPr>
          <w:rFonts w:asciiTheme="majorHAnsi" w:hAnsiTheme="majorHAnsi"/>
          <w:sz w:val="24"/>
          <w:szCs w:val="24"/>
          <w:lang w:val="en-US"/>
        </w:rPr>
        <w:t xml:space="preserve"> S-24 </w:t>
      </w:r>
      <w:r w:rsidR="004677DA" w:rsidRPr="00495EE3">
        <w:rPr>
          <w:rFonts w:asciiTheme="majorHAnsi" w:hAnsiTheme="majorHAnsi"/>
          <w:i/>
          <w:sz w:val="24"/>
          <w:szCs w:val="24"/>
          <w:u w:val="single"/>
          <w:lang w:val="en-US"/>
        </w:rPr>
        <w:t>non-guided</w:t>
      </w:r>
      <w:r w:rsidR="004677DA" w:rsidRPr="004677DA">
        <w:rPr>
          <w:rFonts w:asciiTheme="majorHAnsi" w:hAnsiTheme="majorHAnsi"/>
          <w:sz w:val="24"/>
          <w:szCs w:val="24"/>
          <w:lang w:val="en-US"/>
        </w:rPr>
        <w:t xml:space="preserve"> air-to-ground missiles were </w:t>
      </w:r>
      <w:r>
        <w:rPr>
          <w:rFonts w:asciiTheme="majorHAnsi" w:hAnsiTheme="majorHAnsi"/>
          <w:sz w:val="24"/>
          <w:szCs w:val="24"/>
          <w:lang w:val="en-US"/>
        </w:rPr>
        <w:t>fired (</w:t>
      </w:r>
      <w:r w:rsidR="004677DA" w:rsidRPr="004677DA">
        <w:rPr>
          <w:rFonts w:asciiTheme="majorHAnsi" w:hAnsiTheme="majorHAnsi"/>
          <w:sz w:val="24"/>
          <w:szCs w:val="24"/>
          <w:lang w:val="en-US"/>
        </w:rPr>
        <w:t>six by each plane, which is a full load</w:t>
      </w:r>
      <w:r>
        <w:rPr>
          <w:rFonts w:asciiTheme="majorHAnsi" w:hAnsiTheme="majorHAnsi"/>
          <w:sz w:val="24"/>
          <w:szCs w:val="24"/>
          <w:lang w:val="en-US"/>
        </w:rPr>
        <w:t>) against a convoy of civilian</w:t>
      </w:r>
      <w:r w:rsidR="00495EE3">
        <w:rPr>
          <w:rFonts w:asciiTheme="majorHAnsi" w:hAnsiTheme="majorHAnsi"/>
          <w:sz w:val="24"/>
          <w:szCs w:val="24"/>
          <w:lang w:val="en-US"/>
        </w:rPr>
        <w:t>s,</w:t>
      </w:r>
      <w:r>
        <w:rPr>
          <w:rFonts w:asciiTheme="majorHAnsi" w:hAnsiTheme="majorHAnsi"/>
          <w:sz w:val="24"/>
          <w:szCs w:val="24"/>
          <w:lang w:val="en-US"/>
        </w:rPr>
        <w:t xml:space="preserve"> </w:t>
      </w:r>
      <w:r w:rsidR="00495EE3">
        <w:rPr>
          <w:rFonts w:asciiTheme="majorHAnsi" w:hAnsiTheme="majorHAnsi"/>
          <w:sz w:val="24"/>
          <w:szCs w:val="24"/>
          <w:lang w:val="en-US"/>
        </w:rPr>
        <w:t xml:space="preserve">who were </w:t>
      </w:r>
      <w:r>
        <w:rPr>
          <w:rFonts w:asciiTheme="majorHAnsi" w:hAnsiTheme="majorHAnsi"/>
          <w:sz w:val="24"/>
          <w:szCs w:val="24"/>
          <w:lang w:val="en-US"/>
        </w:rPr>
        <w:t>attempting to flee Grozny</w:t>
      </w:r>
      <w:r w:rsidR="00495EE3">
        <w:rPr>
          <w:rFonts w:asciiTheme="majorHAnsi" w:hAnsiTheme="majorHAnsi"/>
          <w:sz w:val="24"/>
          <w:szCs w:val="24"/>
          <w:lang w:val="en-US"/>
        </w:rPr>
        <w:t>,</w:t>
      </w:r>
      <w:r>
        <w:rPr>
          <w:rFonts w:asciiTheme="majorHAnsi" w:hAnsiTheme="majorHAnsi"/>
          <w:sz w:val="24"/>
          <w:szCs w:val="24"/>
          <w:lang w:val="en-US"/>
        </w:rPr>
        <w:t xml:space="preserve"> with a view to hitting a single truck </w:t>
      </w:r>
      <w:r w:rsidR="00495EE3">
        <w:rPr>
          <w:rFonts w:asciiTheme="majorHAnsi" w:hAnsiTheme="majorHAnsi"/>
          <w:sz w:val="24"/>
          <w:szCs w:val="24"/>
          <w:lang w:val="en-US"/>
        </w:rPr>
        <w:t xml:space="preserve">allegedly </w:t>
      </w:r>
      <w:r>
        <w:rPr>
          <w:rFonts w:asciiTheme="majorHAnsi" w:hAnsiTheme="majorHAnsi"/>
          <w:sz w:val="24"/>
          <w:szCs w:val="24"/>
          <w:lang w:val="en-US"/>
        </w:rPr>
        <w:t>operated by rebels</w:t>
      </w:r>
      <w:r w:rsidR="004677DA" w:rsidRPr="004677DA">
        <w:rPr>
          <w:rFonts w:asciiTheme="majorHAnsi" w:hAnsiTheme="majorHAnsi"/>
          <w:sz w:val="24"/>
          <w:szCs w:val="24"/>
          <w:lang w:val="en-US"/>
        </w:rPr>
        <w:t xml:space="preserve">. On explosion, each missile creates several thousand pieces of shrapnel and its impact radius exceeds 300 </w:t>
      </w:r>
      <w:proofErr w:type="spellStart"/>
      <w:r w:rsidR="004677DA" w:rsidRPr="004677DA">
        <w:rPr>
          <w:rFonts w:asciiTheme="majorHAnsi" w:hAnsiTheme="majorHAnsi"/>
          <w:sz w:val="24"/>
          <w:szCs w:val="24"/>
          <w:lang w:val="en-US"/>
        </w:rPr>
        <w:t>metres</w:t>
      </w:r>
      <w:proofErr w:type="spellEnd"/>
      <w:r w:rsidR="004677DA" w:rsidRPr="004677DA">
        <w:rPr>
          <w:rFonts w:asciiTheme="majorHAnsi" w:hAnsiTheme="majorHAnsi"/>
          <w:sz w:val="24"/>
          <w:szCs w:val="24"/>
          <w:lang w:val="en-US"/>
        </w:rPr>
        <w:t xml:space="preserve"> (or 600-800 </w:t>
      </w:r>
      <w:proofErr w:type="spellStart"/>
      <w:r w:rsidR="004677DA" w:rsidRPr="004677DA">
        <w:rPr>
          <w:rFonts w:asciiTheme="majorHAnsi" w:hAnsiTheme="majorHAnsi"/>
          <w:sz w:val="24"/>
          <w:szCs w:val="24"/>
          <w:lang w:val="en-US"/>
        </w:rPr>
        <w:t>metres</w:t>
      </w:r>
      <w:proofErr w:type="spellEnd"/>
      <w:r w:rsidR="004677DA" w:rsidRPr="004677DA">
        <w:rPr>
          <w:rFonts w:asciiTheme="majorHAnsi" w:hAnsiTheme="majorHAnsi"/>
          <w:sz w:val="24"/>
          <w:szCs w:val="24"/>
          <w:lang w:val="en-US"/>
        </w:rPr>
        <w:t>, as suggested by some documents )</w:t>
      </w:r>
      <w:r w:rsidR="00495EE3">
        <w:rPr>
          <w:rFonts w:asciiTheme="majorHAnsi" w:hAnsiTheme="majorHAnsi"/>
          <w:sz w:val="24"/>
          <w:szCs w:val="24"/>
          <w:lang w:val="en-US"/>
        </w:rPr>
        <w:t>.</w:t>
      </w:r>
      <w:r w:rsidR="004677DA" w:rsidRPr="004677DA">
        <w:rPr>
          <w:rFonts w:asciiTheme="majorHAnsi" w:hAnsiTheme="majorHAnsi"/>
          <w:sz w:val="24"/>
          <w:szCs w:val="24"/>
          <w:lang w:val="en-US"/>
        </w:rPr>
        <w:t xml:space="preserve"> There were thus several explosions on a relatively short stretch of the road filled with </w:t>
      </w:r>
      <w:r w:rsidR="00495EE3">
        <w:rPr>
          <w:rFonts w:asciiTheme="majorHAnsi" w:hAnsiTheme="majorHAnsi"/>
          <w:sz w:val="24"/>
          <w:szCs w:val="24"/>
          <w:lang w:val="en-US"/>
        </w:rPr>
        <w:t xml:space="preserve">civilian </w:t>
      </w:r>
      <w:r w:rsidR="004677DA" w:rsidRPr="004677DA">
        <w:rPr>
          <w:rFonts w:asciiTheme="majorHAnsi" w:hAnsiTheme="majorHAnsi"/>
          <w:sz w:val="24"/>
          <w:szCs w:val="24"/>
          <w:lang w:val="en-US"/>
        </w:rPr>
        <w:t>vehicles.</w:t>
      </w:r>
    </w:p>
    <w:p w:rsidR="004677DA" w:rsidRPr="004677DA" w:rsidRDefault="004677DA" w:rsidP="004677DA">
      <w:pPr>
        <w:jc w:val="both"/>
        <w:rPr>
          <w:rFonts w:asciiTheme="majorHAnsi" w:hAnsiTheme="majorHAnsi"/>
          <w:sz w:val="24"/>
          <w:szCs w:val="24"/>
          <w:lang w:val="en-US"/>
        </w:rPr>
      </w:pPr>
      <w:r w:rsidRPr="004677DA">
        <w:rPr>
          <w:rFonts w:asciiTheme="majorHAnsi" w:hAnsiTheme="majorHAnsi"/>
          <w:sz w:val="24"/>
          <w:szCs w:val="24"/>
          <w:lang w:val="en-US"/>
        </w:rPr>
        <w:t xml:space="preserve">As in the </w:t>
      </w:r>
      <w:proofErr w:type="spellStart"/>
      <w:r w:rsidRPr="005D4E4B">
        <w:rPr>
          <w:rFonts w:asciiTheme="majorHAnsi" w:hAnsiTheme="majorHAnsi"/>
          <w:i/>
          <w:sz w:val="24"/>
          <w:szCs w:val="24"/>
          <w:lang w:val="en-US"/>
        </w:rPr>
        <w:t>Isayeva</w:t>
      </w:r>
      <w:proofErr w:type="spellEnd"/>
      <w:r w:rsidR="005D4E4B">
        <w:rPr>
          <w:rFonts w:asciiTheme="majorHAnsi" w:hAnsiTheme="majorHAnsi"/>
          <w:sz w:val="24"/>
          <w:szCs w:val="24"/>
          <w:lang w:val="en-US"/>
        </w:rPr>
        <w:t xml:space="preserve"> case</w:t>
      </w:r>
      <w:r w:rsidRPr="004677DA">
        <w:rPr>
          <w:rFonts w:asciiTheme="majorHAnsi" w:hAnsiTheme="majorHAnsi"/>
          <w:sz w:val="24"/>
          <w:szCs w:val="24"/>
          <w:lang w:val="en-US"/>
        </w:rPr>
        <w:t xml:space="preserve">, </w:t>
      </w:r>
      <w:r w:rsidR="005D4E4B">
        <w:rPr>
          <w:rFonts w:asciiTheme="majorHAnsi" w:hAnsiTheme="majorHAnsi"/>
          <w:sz w:val="24"/>
          <w:szCs w:val="24"/>
          <w:lang w:val="en-US"/>
        </w:rPr>
        <w:t xml:space="preserve">in the </w:t>
      </w:r>
      <w:proofErr w:type="spellStart"/>
      <w:r w:rsidR="005D4E4B" w:rsidRPr="0060164E">
        <w:rPr>
          <w:rFonts w:asciiTheme="majorHAnsi" w:hAnsiTheme="majorHAnsi"/>
          <w:i/>
          <w:sz w:val="24"/>
          <w:szCs w:val="24"/>
          <w:lang w:val="en-US"/>
        </w:rPr>
        <w:t>Tagayeva</w:t>
      </w:r>
      <w:proofErr w:type="spellEnd"/>
      <w:r w:rsidR="005D4E4B" w:rsidRPr="0060164E">
        <w:rPr>
          <w:rFonts w:asciiTheme="majorHAnsi" w:hAnsiTheme="majorHAnsi"/>
          <w:i/>
          <w:sz w:val="24"/>
          <w:szCs w:val="24"/>
          <w:lang w:val="en-US"/>
        </w:rPr>
        <w:t xml:space="preserve"> and Others v. Russia</w:t>
      </w:r>
      <w:r w:rsidR="005D4E4B">
        <w:rPr>
          <w:rFonts w:asciiTheme="majorHAnsi" w:hAnsiTheme="majorHAnsi"/>
          <w:sz w:val="24"/>
          <w:szCs w:val="24"/>
          <w:lang w:val="en-US"/>
        </w:rPr>
        <w:t xml:space="preserve"> </w:t>
      </w:r>
      <w:r w:rsidR="0060164E">
        <w:rPr>
          <w:rFonts w:asciiTheme="majorHAnsi" w:hAnsiTheme="majorHAnsi"/>
          <w:sz w:val="24"/>
          <w:szCs w:val="24"/>
          <w:lang w:val="en-US"/>
        </w:rPr>
        <w:t xml:space="preserve">case </w:t>
      </w:r>
      <w:r w:rsidR="005D4E4B">
        <w:rPr>
          <w:rFonts w:asciiTheme="majorHAnsi" w:hAnsiTheme="majorHAnsi"/>
          <w:sz w:val="24"/>
          <w:szCs w:val="24"/>
          <w:lang w:val="en-US"/>
        </w:rPr>
        <w:t xml:space="preserve">(concerning the events </w:t>
      </w:r>
      <w:r w:rsidR="0060164E">
        <w:rPr>
          <w:rFonts w:asciiTheme="majorHAnsi" w:hAnsiTheme="majorHAnsi"/>
          <w:sz w:val="24"/>
          <w:szCs w:val="24"/>
          <w:lang w:val="en-US"/>
        </w:rPr>
        <w:t xml:space="preserve">in </w:t>
      </w:r>
      <w:proofErr w:type="spellStart"/>
      <w:r w:rsidR="0060164E">
        <w:rPr>
          <w:rFonts w:asciiTheme="majorHAnsi" w:hAnsiTheme="majorHAnsi"/>
          <w:sz w:val="24"/>
          <w:szCs w:val="24"/>
          <w:lang w:val="en-US"/>
        </w:rPr>
        <w:t>Beslan</w:t>
      </w:r>
      <w:proofErr w:type="spellEnd"/>
      <w:r w:rsidR="0060164E">
        <w:rPr>
          <w:rFonts w:asciiTheme="majorHAnsi" w:hAnsiTheme="majorHAnsi"/>
          <w:sz w:val="24"/>
          <w:szCs w:val="24"/>
          <w:lang w:val="en-US"/>
        </w:rPr>
        <w:t>; judgment</w:t>
      </w:r>
      <w:r w:rsidR="00395021">
        <w:rPr>
          <w:rFonts w:asciiTheme="majorHAnsi" w:hAnsiTheme="majorHAnsi"/>
          <w:sz w:val="24"/>
          <w:szCs w:val="24"/>
          <w:lang w:val="en-US"/>
        </w:rPr>
        <w:t xml:space="preserve"> of 13 April 2017 available</w:t>
      </w:r>
      <w:r w:rsidR="0060164E">
        <w:rPr>
          <w:rFonts w:asciiTheme="majorHAnsi" w:hAnsiTheme="majorHAnsi"/>
          <w:sz w:val="24"/>
          <w:szCs w:val="24"/>
          <w:lang w:val="en-US"/>
        </w:rPr>
        <w:t xml:space="preserve"> at </w:t>
      </w:r>
      <w:hyperlink r:id="rId12" w:anchor="{%22fulltext%22:[%22\%22CASE%20OF%20TAGAYEVA%20AND%20OTHERS%20v.%20RUSSIA\%22%22],%22documentcollectionid2%22:[%22GRANDCHAMBER%22,%22CHAMBER%22],%22itemid%22:[%22001-172660%22]}" w:history="1">
        <w:r w:rsidR="0060164E" w:rsidRPr="002A522D">
          <w:rPr>
            <w:rStyle w:val="Collegamentoipertestuale"/>
            <w:rFonts w:asciiTheme="majorHAnsi" w:hAnsiTheme="majorHAnsi"/>
            <w:sz w:val="24"/>
            <w:szCs w:val="24"/>
            <w:lang w:val="en-US"/>
          </w:rPr>
          <w:t>https://hudoc.echr.coe.int/eng#{%22fulltext%22:[%22\%22CASE%20OF%20TAGAYEVA%20AND%20OTHERS%20v.%20RUSSIA\%22%22],%22documentcollectionid2%22:[%22GRANDCHAMBER%22,%22CHAMBER%22],%22itemid%22:[%22001-172660%22]}</w:t>
        </w:r>
      </w:hyperlink>
      <w:r w:rsidR="0060164E">
        <w:rPr>
          <w:rFonts w:asciiTheme="majorHAnsi" w:hAnsiTheme="majorHAnsi"/>
          <w:sz w:val="24"/>
          <w:szCs w:val="24"/>
          <w:lang w:val="en-US"/>
        </w:rPr>
        <w:t xml:space="preserve">, paras. 609 and  599;  summary of the judgment at </w:t>
      </w:r>
      <w:hyperlink r:id="rId13" w:anchor="{%22fulltext%22:[%2226562/07%22],%22itemid%22:[%22003-5684105-7210070%22]}" w:history="1">
        <w:r w:rsidR="000F355E" w:rsidRPr="002A522D">
          <w:rPr>
            <w:rStyle w:val="Collegamentoipertestuale"/>
            <w:rFonts w:asciiTheme="majorHAnsi" w:hAnsiTheme="majorHAnsi"/>
            <w:sz w:val="24"/>
            <w:szCs w:val="24"/>
            <w:lang w:val="en-US"/>
          </w:rPr>
          <w:t>https://hudoc.echr.coe.int/eng-press#{%22fulltext%22:[%2226562/07%22],%22itemid%22:[%22003-5684105-7210070%22]}</w:t>
        </w:r>
      </w:hyperlink>
      <w:r w:rsidR="000F355E">
        <w:rPr>
          <w:rFonts w:asciiTheme="majorHAnsi" w:hAnsiTheme="majorHAnsi"/>
          <w:sz w:val="24"/>
          <w:szCs w:val="24"/>
          <w:lang w:val="en-US"/>
        </w:rPr>
        <w:t xml:space="preserve"> ), </w:t>
      </w:r>
      <w:r w:rsidR="005D4E4B">
        <w:rPr>
          <w:rFonts w:asciiTheme="majorHAnsi" w:hAnsiTheme="majorHAnsi"/>
          <w:sz w:val="24"/>
          <w:szCs w:val="24"/>
          <w:lang w:val="en-US"/>
        </w:rPr>
        <w:t xml:space="preserve">the Court found that </w:t>
      </w:r>
      <w:r w:rsidRPr="004677DA">
        <w:rPr>
          <w:rFonts w:asciiTheme="majorHAnsi" w:hAnsiTheme="majorHAnsi"/>
          <w:sz w:val="24"/>
          <w:szCs w:val="24"/>
          <w:lang w:val="en-US"/>
        </w:rPr>
        <w:t>the primar</w:t>
      </w:r>
      <w:r w:rsidR="000F355E">
        <w:rPr>
          <w:rFonts w:asciiTheme="majorHAnsi" w:hAnsiTheme="majorHAnsi"/>
          <w:sz w:val="24"/>
          <w:szCs w:val="24"/>
          <w:lang w:val="en-US"/>
        </w:rPr>
        <w:t>y aim of the operation should have been</w:t>
      </w:r>
      <w:r w:rsidRPr="004677DA">
        <w:rPr>
          <w:rFonts w:asciiTheme="majorHAnsi" w:hAnsiTheme="majorHAnsi"/>
          <w:sz w:val="24"/>
          <w:szCs w:val="24"/>
          <w:lang w:val="en-US"/>
        </w:rPr>
        <w:t xml:space="preserve"> to protect lives from unlawful violence. </w:t>
      </w:r>
      <w:r w:rsidR="000F355E">
        <w:rPr>
          <w:rFonts w:asciiTheme="majorHAnsi" w:hAnsiTheme="majorHAnsi"/>
          <w:sz w:val="24"/>
          <w:szCs w:val="24"/>
          <w:lang w:val="en-US"/>
        </w:rPr>
        <w:t>«</w:t>
      </w:r>
      <w:r w:rsidRPr="004677DA">
        <w:rPr>
          <w:rFonts w:asciiTheme="majorHAnsi" w:hAnsiTheme="majorHAnsi"/>
          <w:sz w:val="24"/>
          <w:szCs w:val="24"/>
          <w:lang w:val="en-US"/>
        </w:rPr>
        <w:t>The massive use of indiscriminate weapons stands in flagrant contrast with this aim and cannot be considered compatible with the standard of care prerequisite to an operation of this kind involving the use o</w:t>
      </w:r>
      <w:r w:rsidR="000F355E">
        <w:rPr>
          <w:rFonts w:asciiTheme="majorHAnsi" w:hAnsiTheme="majorHAnsi"/>
          <w:sz w:val="24"/>
          <w:szCs w:val="24"/>
          <w:lang w:val="en-US"/>
        </w:rPr>
        <w:t>f lethal force by State agents.</w:t>
      </w:r>
      <w:r w:rsidRPr="004677DA">
        <w:rPr>
          <w:rFonts w:asciiTheme="majorHAnsi" w:hAnsiTheme="majorHAnsi"/>
          <w:sz w:val="24"/>
          <w:szCs w:val="24"/>
          <w:lang w:val="en-US"/>
        </w:rPr>
        <w:t xml:space="preserve"> It is not for the Court, with detached reflection, to substitute its own opinion of the situation for that of security officers who were required to intervene to save human lives, in an extremely tense situation, facing armed and dangerous individuals. While errors of judgment or mistaken assessments, unfortunate in retrospect, will not in themselves entail responsibility under Article 2, such use of explosive and indiscriminate weapons</w:t>
      </w:r>
      <w:r w:rsidR="000F355E">
        <w:rPr>
          <w:rFonts w:asciiTheme="majorHAnsi" w:hAnsiTheme="majorHAnsi"/>
          <w:sz w:val="24"/>
          <w:szCs w:val="24"/>
          <w:lang w:val="en-US"/>
        </w:rPr>
        <w:t>»</w:t>
      </w:r>
      <w:r w:rsidR="00395021" w:rsidRPr="00395021">
        <w:rPr>
          <w:lang w:val="en-US"/>
        </w:rPr>
        <w:t xml:space="preserve"> </w:t>
      </w:r>
      <w:r w:rsidR="00395021">
        <w:rPr>
          <w:lang w:val="en-US"/>
        </w:rPr>
        <w:t>(</w:t>
      </w:r>
      <w:r w:rsidR="00395021">
        <w:rPr>
          <w:rFonts w:asciiTheme="majorHAnsi" w:hAnsiTheme="majorHAnsi"/>
          <w:sz w:val="24"/>
          <w:szCs w:val="24"/>
          <w:lang w:val="en-US"/>
        </w:rPr>
        <w:t>including f</w:t>
      </w:r>
      <w:r w:rsidR="00395021" w:rsidRPr="00395021">
        <w:rPr>
          <w:rFonts w:asciiTheme="majorHAnsi" w:hAnsiTheme="majorHAnsi"/>
          <w:sz w:val="24"/>
          <w:szCs w:val="24"/>
          <w:lang w:val="en-US"/>
        </w:rPr>
        <w:t>orty charges for</w:t>
      </w:r>
      <w:r w:rsidR="00395021">
        <w:rPr>
          <w:rFonts w:asciiTheme="majorHAnsi" w:hAnsiTheme="majorHAnsi"/>
          <w:sz w:val="24"/>
          <w:szCs w:val="24"/>
          <w:lang w:val="en-US"/>
        </w:rPr>
        <w:t xml:space="preserve"> a portable flame-thrower</w:t>
      </w:r>
      <w:r w:rsidR="00395021" w:rsidRPr="00395021">
        <w:rPr>
          <w:rFonts w:asciiTheme="majorHAnsi" w:hAnsiTheme="majorHAnsi"/>
          <w:sz w:val="24"/>
          <w:szCs w:val="24"/>
          <w:lang w:val="en-US"/>
        </w:rPr>
        <w:t>, at least twenty</w:t>
      </w:r>
      <w:r w:rsidR="00395021" w:rsidRPr="00395021">
        <w:rPr>
          <w:rFonts w:ascii="MS Mincho" w:eastAsia="MS Mincho" w:hAnsi="MS Mincho" w:cs="MS Mincho" w:hint="eastAsia"/>
          <w:sz w:val="24"/>
          <w:szCs w:val="24"/>
          <w:lang w:val="en-US"/>
        </w:rPr>
        <w:t>‑</w:t>
      </w:r>
      <w:r w:rsidR="00395021">
        <w:rPr>
          <w:rFonts w:asciiTheme="majorHAnsi" w:hAnsiTheme="majorHAnsi"/>
          <w:sz w:val="24"/>
          <w:szCs w:val="24"/>
          <w:lang w:val="en-US"/>
        </w:rPr>
        <w:t>eight charges for grenad</w:t>
      </w:r>
      <w:r w:rsidR="00395021" w:rsidRPr="00395021">
        <w:rPr>
          <w:rFonts w:asciiTheme="majorHAnsi" w:hAnsiTheme="majorHAnsi"/>
          <w:sz w:val="24"/>
          <w:szCs w:val="24"/>
          <w:lang w:val="en-US"/>
        </w:rPr>
        <w:t>e launchers and eight high-fragmentation shells for a tank cannon</w:t>
      </w:r>
      <w:r w:rsidR="00395021">
        <w:rPr>
          <w:rFonts w:asciiTheme="majorHAnsi" w:hAnsiTheme="majorHAnsi"/>
          <w:sz w:val="24"/>
          <w:szCs w:val="24"/>
          <w:lang w:val="en-US"/>
        </w:rPr>
        <w:t>)</w:t>
      </w:r>
      <w:r w:rsidRPr="004677DA">
        <w:rPr>
          <w:rFonts w:asciiTheme="majorHAnsi" w:hAnsiTheme="majorHAnsi"/>
          <w:sz w:val="24"/>
          <w:szCs w:val="24"/>
          <w:lang w:val="en-US"/>
        </w:rPr>
        <w:t>, with the atten</w:t>
      </w:r>
      <w:r w:rsidR="00395021">
        <w:rPr>
          <w:rFonts w:asciiTheme="majorHAnsi" w:hAnsiTheme="majorHAnsi"/>
          <w:sz w:val="24"/>
          <w:szCs w:val="24"/>
          <w:lang w:val="en-US"/>
        </w:rPr>
        <w:t>dant risk for human life, could not</w:t>
      </w:r>
      <w:r w:rsidRPr="004677DA">
        <w:rPr>
          <w:rFonts w:asciiTheme="majorHAnsi" w:hAnsiTheme="majorHAnsi"/>
          <w:sz w:val="24"/>
          <w:szCs w:val="24"/>
          <w:lang w:val="en-US"/>
        </w:rPr>
        <w:t xml:space="preserve"> be regarded as absolutely necessary in the circumstances</w:t>
      </w:r>
      <w:r w:rsidR="000F355E">
        <w:rPr>
          <w:rFonts w:asciiTheme="majorHAnsi" w:hAnsiTheme="majorHAnsi"/>
          <w:sz w:val="24"/>
          <w:szCs w:val="24"/>
          <w:lang w:val="en-US"/>
        </w:rPr>
        <w:t>.</w:t>
      </w:r>
    </w:p>
    <w:p w:rsidR="004677DA" w:rsidRDefault="0060164E" w:rsidP="00046044">
      <w:pPr>
        <w:jc w:val="both"/>
        <w:rPr>
          <w:rFonts w:asciiTheme="majorHAnsi" w:hAnsiTheme="majorHAnsi"/>
          <w:sz w:val="24"/>
          <w:szCs w:val="24"/>
          <w:lang w:val="en-US"/>
        </w:rPr>
      </w:pPr>
      <w:r>
        <w:rPr>
          <w:rFonts w:asciiTheme="majorHAnsi" w:hAnsiTheme="majorHAnsi"/>
          <w:sz w:val="24"/>
          <w:szCs w:val="24"/>
          <w:lang w:val="en-US"/>
        </w:rPr>
        <w:t>Furthermore</w:t>
      </w:r>
      <w:r w:rsidR="005D4E4B">
        <w:rPr>
          <w:rFonts w:asciiTheme="majorHAnsi" w:hAnsiTheme="majorHAnsi"/>
          <w:sz w:val="24"/>
          <w:szCs w:val="24"/>
          <w:lang w:val="en-US"/>
        </w:rPr>
        <w:t xml:space="preserve">, </w:t>
      </w:r>
      <w:r w:rsidR="005D4E4B" w:rsidRPr="006212AE">
        <w:rPr>
          <w:rFonts w:asciiTheme="majorHAnsi" w:hAnsiTheme="majorHAnsi"/>
          <w:sz w:val="24"/>
          <w:szCs w:val="24"/>
          <w:u w:val="single"/>
          <w:lang w:val="en-US"/>
        </w:rPr>
        <w:t>t</w:t>
      </w:r>
      <w:r w:rsidR="004677DA" w:rsidRPr="006212AE">
        <w:rPr>
          <w:rFonts w:asciiTheme="majorHAnsi" w:hAnsiTheme="majorHAnsi"/>
          <w:sz w:val="24"/>
          <w:szCs w:val="24"/>
          <w:u w:val="single"/>
          <w:lang w:val="en-US"/>
        </w:rPr>
        <w:t>he domestic legal framework</w:t>
      </w:r>
      <w:r w:rsidR="004677DA" w:rsidRPr="004677DA">
        <w:rPr>
          <w:rFonts w:asciiTheme="majorHAnsi" w:hAnsiTheme="majorHAnsi"/>
          <w:sz w:val="24"/>
          <w:szCs w:val="24"/>
          <w:lang w:val="en-US"/>
        </w:rPr>
        <w:t xml:space="preserve"> failed to set the most important principles and constraints of the use of force in lawful anti-terrorist operations, including the obligation to protect everyone’s life by law, as required by the </w:t>
      </w:r>
      <w:r w:rsidR="005D4E4B">
        <w:rPr>
          <w:rFonts w:asciiTheme="majorHAnsi" w:hAnsiTheme="majorHAnsi"/>
          <w:sz w:val="24"/>
          <w:szCs w:val="24"/>
          <w:lang w:val="en-US"/>
        </w:rPr>
        <w:t xml:space="preserve">European </w:t>
      </w:r>
      <w:r w:rsidR="004677DA" w:rsidRPr="004677DA">
        <w:rPr>
          <w:rFonts w:asciiTheme="majorHAnsi" w:hAnsiTheme="majorHAnsi"/>
          <w:sz w:val="24"/>
          <w:szCs w:val="24"/>
          <w:lang w:val="en-US"/>
        </w:rPr>
        <w:t>Convention. Coupled with wide-ranging immunity for any harm caused in the course of anti-terrorist operations, this situation resulted in a dangerous gap in regulating situations involving deprivation of life – the most fundamental human right under the Conv</w:t>
      </w:r>
      <w:r w:rsidR="005D4E4B">
        <w:rPr>
          <w:rFonts w:asciiTheme="majorHAnsi" w:hAnsiTheme="majorHAnsi"/>
          <w:sz w:val="24"/>
          <w:szCs w:val="24"/>
          <w:lang w:val="en-US"/>
        </w:rPr>
        <w:t>ention. I</w:t>
      </w:r>
      <w:r w:rsidR="004677DA" w:rsidRPr="004677DA">
        <w:rPr>
          <w:rFonts w:asciiTheme="majorHAnsi" w:hAnsiTheme="majorHAnsi"/>
          <w:sz w:val="24"/>
          <w:szCs w:val="24"/>
          <w:lang w:val="en-US"/>
        </w:rPr>
        <w:t>n view of the inadequate level of legal safeguards, Russia had failed to set up a “framework of a system of adequate and effective safeguards against arbitrariness and abuse of force”</w:t>
      </w:r>
      <w:r w:rsidR="009575F1">
        <w:rPr>
          <w:rFonts w:asciiTheme="majorHAnsi" w:hAnsiTheme="majorHAnsi"/>
          <w:sz w:val="24"/>
          <w:szCs w:val="24"/>
          <w:lang w:val="en-US"/>
        </w:rPr>
        <w:t>.</w:t>
      </w:r>
    </w:p>
    <w:p w:rsidR="00F14B83" w:rsidRPr="00046044" w:rsidRDefault="00F14B83" w:rsidP="00046044">
      <w:pPr>
        <w:jc w:val="both"/>
        <w:rPr>
          <w:rFonts w:asciiTheme="majorHAnsi" w:hAnsiTheme="majorHAnsi"/>
          <w:sz w:val="24"/>
          <w:szCs w:val="24"/>
          <w:lang w:val="en-US"/>
        </w:rPr>
      </w:pPr>
    </w:p>
    <w:p w:rsidR="00046044" w:rsidRDefault="00046044" w:rsidP="00BD441A">
      <w:pPr>
        <w:pStyle w:val="Paragrafoelenco"/>
        <w:numPr>
          <w:ilvl w:val="0"/>
          <w:numId w:val="1"/>
        </w:numPr>
        <w:jc w:val="both"/>
        <w:rPr>
          <w:rFonts w:asciiTheme="majorHAnsi" w:hAnsiTheme="majorHAnsi"/>
          <w:b/>
          <w:sz w:val="24"/>
          <w:szCs w:val="24"/>
          <w:lang w:val="en-US"/>
        </w:rPr>
      </w:pPr>
      <w:r>
        <w:rPr>
          <w:rFonts w:asciiTheme="majorHAnsi" w:hAnsiTheme="majorHAnsi"/>
          <w:b/>
          <w:sz w:val="24"/>
          <w:szCs w:val="24"/>
          <w:lang w:val="en-US"/>
        </w:rPr>
        <w:lastRenderedPageBreak/>
        <w:t>Death penalty/Europe</w:t>
      </w:r>
    </w:p>
    <w:p w:rsidR="000A68AA" w:rsidRDefault="009575F1" w:rsidP="000A68AA">
      <w:pPr>
        <w:jc w:val="both"/>
        <w:rPr>
          <w:rFonts w:asciiTheme="majorHAnsi" w:hAnsiTheme="majorHAnsi"/>
          <w:sz w:val="24"/>
          <w:szCs w:val="24"/>
          <w:lang w:val="en-US"/>
        </w:rPr>
      </w:pPr>
      <w:r>
        <w:rPr>
          <w:rFonts w:asciiTheme="majorHAnsi" w:hAnsiTheme="majorHAnsi"/>
          <w:sz w:val="24"/>
          <w:szCs w:val="24"/>
          <w:lang w:val="en-US"/>
        </w:rPr>
        <w:t xml:space="preserve">It can be argued, in the light of the practice of the Council of Europe and of the European Union, that </w:t>
      </w:r>
      <w:r w:rsidR="00445CFE">
        <w:rPr>
          <w:rFonts w:asciiTheme="majorHAnsi" w:hAnsiTheme="majorHAnsi"/>
          <w:sz w:val="24"/>
          <w:szCs w:val="24"/>
          <w:lang w:val="en-US"/>
        </w:rPr>
        <w:t xml:space="preserve">in Europe </w:t>
      </w:r>
      <w:r>
        <w:rPr>
          <w:rFonts w:asciiTheme="majorHAnsi" w:hAnsiTheme="majorHAnsi"/>
          <w:sz w:val="24"/>
          <w:szCs w:val="24"/>
          <w:lang w:val="en-US"/>
        </w:rPr>
        <w:t>death penalty is now pro</w:t>
      </w:r>
      <w:r w:rsidR="00445CFE">
        <w:rPr>
          <w:rFonts w:asciiTheme="majorHAnsi" w:hAnsiTheme="majorHAnsi"/>
          <w:sz w:val="24"/>
          <w:szCs w:val="24"/>
          <w:lang w:val="en-US"/>
        </w:rPr>
        <w:t xml:space="preserve">hibited </w:t>
      </w:r>
      <w:r>
        <w:rPr>
          <w:rFonts w:asciiTheme="majorHAnsi" w:hAnsiTheme="majorHAnsi"/>
          <w:sz w:val="24"/>
          <w:szCs w:val="24"/>
          <w:lang w:val="en-US"/>
        </w:rPr>
        <w:t xml:space="preserve">by virtue of a regional customary norm. See for example, among many others, the Joint Declaration by the European Union and the Council of Europe on the occasion of the European and World Day against the Death Penalty, on 10 October 2019: </w:t>
      </w:r>
      <w:hyperlink r:id="rId14" w:history="1">
        <w:r w:rsidR="00191488" w:rsidRPr="00FE262C">
          <w:rPr>
            <w:rStyle w:val="Collegamentoipertestuale"/>
            <w:rFonts w:asciiTheme="majorHAnsi" w:hAnsiTheme="majorHAnsi"/>
            <w:sz w:val="24"/>
            <w:szCs w:val="24"/>
            <w:lang w:val="en-US"/>
          </w:rPr>
          <w:t>https://www.consilium.europa.eu/en/press/press-releases/2019/10/09/joint-declaration-by-the-eu-high-representative-for-foreign-affairs-and-security-policy-and-the-secretary-general-of-the-council-of-europe-on-the-european-and-world-day-against-the-death-penalty/</w:t>
        </w:r>
      </w:hyperlink>
      <w:r w:rsidR="00191488">
        <w:rPr>
          <w:rFonts w:asciiTheme="majorHAnsi" w:hAnsiTheme="majorHAnsi"/>
          <w:sz w:val="24"/>
          <w:szCs w:val="24"/>
          <w:lang w:val="en-US"/>
        </w:rPr>
        <w:t xml:space="preserve"> . Furthermore, it is worth noting that Belarus, the only European State that still uses the death penalty, abstained </w:t>
      </w:r>
      <w:r w:rsidR="00934D94" w:rsidRPr="00934D94">
        <w:rPr>
          <w:rFonts w:asciiTheme="majorHAnsi" w:hAnsiTheme="majorHAnsi"/>
          <w:sz w:val="24"/>
          <w:szCs w:val="24"/>
          <w:lang w:val="en-US"/>
        </w:rPr>
        <w:t>(instead of voting against)</w:t>
      </w:r>
      <w:r w:rsidR="00934D94">
        <w:rPr>
          <w:rFonts w:asciiTheme="majorHAnsi" w:hAnsiTheme="majorHAnsi"/>
          <w:sz w:val="24"/>
          <w:szCs w:val="24"/>
          <w:lang w:val="en-US"/>
        </w:rPr>
        <w:t xml:space="preserve"> </w:t>
      </w:r>
      <w:r w:rsidR="00191488">
        <w:rPr>
          <w:rFonts w:asciiTheme="majorHAnsi" w:hAnsiTheme="majorHAnsi"/>
          <w:sz w:val="24"/>
          <w:szCs w:val="24"/>
          <w:lang w:val="en-US"/>
        </w:rPr>
        <w:t>on the occasion of the adoption in 2018, by the General Assemb</w:t>
      </w:r>
      <w:r w:rsidR="00445CFE">
        <w:rPr>
          <w:rFonts w:asciiTheme="majorHAnsi" w:hAnsiTheme="majorHAnsi"/>
          <w:sz w:val="24"/>
          <w:szCs w:val="24"/>
          <w:lang w:val="en-US"/>
        </w:rPr>
        <w:t>ly of the United Nations, of the</w:t>
      </w:r>
      <w:r w:rsidR="00191488">
        <w:rPr>
          <w:rFonts w:asciiTheme="majorHAnsi" w:hAnsiTheme="majorHAnsi"/>
          <w:sz w:val="24"/>
          <w:szCs w:val="24"/>
          <w:lang w:val="en-US"/>
        </w:rPr>
        <w:t xml:space="preserve"> latest resolution calling for a moratorium o</w:t>
      </w:r>
      <w:r w:rsidR="00445CFE">
        <w:rPr>
          <w:rFonts w:asciiTheme="majorHAnsi" w:hAnsiTheme="majorHAnsi"/>
          <w:sz w:val="24"/>
          <w:szCs w:val="24"/>
          <w:lang w:val="en-US"/>
        </w:rPr>
        <w:t xml:space="preserve">n the use of the death penalty: </w:t>
      </w:r>
      <w:hyperlink r:id="rId15" w:history="1">
        <w:r w:rsidR="00445CFE" w:rsidRPr="00FE262C">
          <w:rPr>
            <w:rStyle w:val="Collegamentoipertestuale"/>
            <w:rFonts w:asciiTheme="majorHAnsi" w:hAnsiTheme="majorHAnsi"/>
            <w:sz w:val="24"/>
            <w:szCs w:val="24"/>
            <w:lang w:val="en-US"/>
          </w:rPr>
          <w:t>http://research.un.org/en/docs/ga/quick/regular/73</w:t>
        </w:r>
      </w:hyperlink>
      <w:r w:rsidR="00445CFE">
        <w:rPr>
          <w:rFonts w:asciiTheme="majorHAnsi" w:hAnsiTheme="majorHAnsi"/>
          <w:sz w:val="24"/>
          <w:szCs w:val="24"/>
          <w:lang w:val="en-US"/>
        </w:rPr>
        <w:t xml:space="preserve"> (A/RES/73/175).</w:t>
      </w:r>
    </w:p>
    <w:p w:rsidR="000A68AA" w:rsidRPr="007F6132" w:rsidRDefault="000A68AA" w:rsidP="000A68AA">
      <w:pPr>
        <w:pStyle w:val="Paragrafoelenco"/>
        <w:numPr>
          <w:ilvl w:val="0"/>
          <w:numId w:val="1"/>
        </w:numPr>
        <w:jc w:val="both"/>
        <w:rPr>
          <w:rFonts w:asciiTheme="majorHAnsi" w:hAnsiTheme="majorHAnsi"/>
          <w:b/>
          <w:sz w:val="24"/>
          <w:szCs w:val="24"/>
          <w:lang w:val="en-US"/>
        </w:rPr>
      </w:pPr>
      <w:r w:rsidRPr="007F6132">
        <w:rPr>
          <w:rFonts w:asciiTheme="majorHAnsi" w:hAnsiTheme="majorHAnsi"/>
          <w:b/>
          <w:sz w:val="24"/>
          <w:szCs w:val="24"/>
          <w:lang w:val="en-US"/>
        </w:rPr>
        <w:t>On lethal injection as a method of execution</w:t>
      </w:r>
    </w:p>
    <w:p w:rsidR="000A68AA" w:rsidRDefault="007F6132" w:rsidP="000A68AA">
      <w:pPr>
        <w:jc w:val="both"/>
        <w:rPr>
          <w:rFonts w:asciiTheme="majorHAnsi" w:hAnsiTheme="majorHAnsi"/>
          <w:sz w:val="24"/>
          <w:szCs w:val="24"/>
          <w:lang w:val="en-US"/>
        </w:rPr>
      </w:pPr>
      <w:r>
        <w:rPr>
          <w:rFonts w:asciiTheme="majorHAnsi" w:hAnsiTheme="majorHAnsi"/>
          <w:sz w:val="24"/>
          <w:szCs w:val="24"/>
          <w:lang w:val="en-US"/>
        </w:rPr>
        <w:t xml:space="preserve">The reference to the case </w:t>
      </w:r>
      <w:r w:rsidRPr="00934D94">
        <w:rPr>
          <w:rFonts w:asciiTheme="majorHAnsi" w:hAnsiTheme="majorHAnsi"/>
          <w:i/>
          <w:sz w:val="24"/>
          <w:szCs w:val="24"/>
          <w:lang w:val="en-US"/>
        </w:rPr>
        <w:t>Kindler v. Canada</w:t>
      </w:r>
      <w:r>
        <w:rPr>
          <w:rFonts w:asciiTheme="majorHAnsi" w:hAnsiTheme="majorHAnsi"/>
          <w:sz w:val="24"/>
          <w:szCs w:val="24"/>
          <w:lang w:val="en-US"/>
        </w:rPr>
        <w:t xml:space="preserve"> in the essay on the death penalty (p. 57) is of limited significance, since in that case the complainant’s claim was dismissed for the reason that his counsel had not made any submission in this regard (see para. 15.3 of the Human Rights Committee’s views released on 11 November 1993).  </w:t>
      </w:r>
    </w:p>
    <w:p w:rsidR="000A68AA" w:rsidRPr="00647286" w:rsidRDefault="00647286" w:rsidP="00647286">
      <w:pPr>
        <w:jc w:val="both"/>
        <w:rPr>
          <w:rFonts w:asciiTheme="majorHAnsi" w:hAnsiTheme="majorHAnsi"/>
          <w:sz w:val="24"/>
          <w:szCs w:val="24"/>
          <w:lang w:val="en-US"/>
        </w:rPr>
      </w:pPr>
      <w:r>
        <w:rPr>
          <w:rFonts w:asciiTheme="majorHAnsi" w:hAnsiTheme="majorHAnsi"/>
          <w:sz w:val="24"/>
          <w:szCs w:val="24"/>
          <w:lang w:val="en-US"/>
        </w:rPr>
        <w:t>The issue of lethal injection</w:t>
      </w:r>
      <w:r w:rsidR="00934D94">
        <w:rPr>
          <w:rFonts w:asciiTheme="majorHAnsi" w:hAnsiTheme="majorHAnsi"/>
          <w:sz w:val="24"/>
          <w:szCs w:val="24"/>
          <w:lang w:val="en-US"/>
        </w:rPr>
        <w:t xml:space="preserve"> has</w:t>
      </w:r>
      <w:r>
        <w:rPr>
          <w:rFonts w:asciiTheme="majorHAnsi" w:hAnsiTheme="majorHAnsi"/>
          <w:sz w:val="24"/>
          <w:szCs w:val="24"/>
          <w:lang w:val="en-US"/>
        </w:rPr>
        <w:t xml:space="preserve"> nevertheless</w:t>
      </w:r>
      <w:r w:rsidR="00934D94">
        <w:rPr>
          <w:rFonts w:asciiTheme="majorHAnsi" w:hAnsiTheme="majorHAnsi"/>
          <w:sz w:val="24"/>
          <w:szCs w:val="24"/>
          <w:lang w:val="en-US"/>
        </w:rPr>
        <w:t xml:space="preserve"> been</w:t>
      </w:r>
      <w:r>
        <w:rPr>
          <w:rFonts w:asciiTheme="majorHAnsi" w:hAnsiTheme="majorHAnsi"/>
          <w:sz w:val="24"/>
          <w:szCs w:val="24"/>
          <w:lang w:val="en-US"/>
        </w:rPr>
        <w:t xml:space="preserve"> subsequently raised by several international human rights bodies. Among others, the Human Rights Committee itself, in its latest concluding observations on the United States (adopted in 2014), expressed its concern with regard to the use of</w:t>
      </w:r>
      <w:r w:rsidRPr="00647286">
        <w:rPr>
          <w:lang w:val="en-US"/>
        </w:rPr>
        <w:t xml:space="preserve"> </w:t>
      </w:r>
      <w:r w:rsidRPr="00647286">
        <w:rPr>
          <w:rFonts w:asciiTheme="majorHAnsi" w:hAnsiTheme="majorHAnsi"/>
          <w:sz w:val="24"/>
          <w:szCs w:val="24"/>
          <w:lang w:val="en-US"/>
        </w:rPr>
        <w:t xml:space="preserve">untested lethal drugs to execute prisoners and the withholding </w:t>
      </w:r>
      <w:r>
        <w:rPr>
          <w:rFonts w:asciiTheme="majorHAnsi" w:hAnsiTheme="majorHAnsi"/>
          <w:sz w:val="24"/>
          <w:szCs w:val="24"/>
          <w:lang w:val="en-US"/>
        </w:rPr>
        <w:t xml:space="preserve">of information about such drugs. </w:t>
      </w:r>
      <w:r w:rsidR="004E6511">
        <w:rPr>
          <w:rFonts w:asciiTheme="majorHAnsi" w:hAnsiTheme="majorHAnsi"/>
          <w:sz w:val="24"/>
          <w:szCs w:val="24"/>
          <w:lang w:val="en-US"/>
        </w:rPr>
        <w:t xml:space="preserve">In the </w:t>
      </w:r>
      <w:proofErr w:type="spellStart"/>
      <w:r w:rsidR="004E6511" w:rsidRPr="00934D94">
        <w:rPr>
          <w:rFonts w:asciiTheme="majorHAnsi" w:hAnsiTheme="majorHAnsi"/>
          <w:i/>
          <w:sz w:val="24"/>
          <w:szCs w:val="24"/>
          <w:lang w:val="en-US"/>
        </w:rPr>
        <w:t>Bucklew</w:t>
      </w:r>
      <w:proofErr w:type="spellEnd"/>
      <w:r w:rsidR="004E6511">
        <w:rPr>
          <w:rFonts w:asciiTheme="majorHAnsi" w:hAnsiTheme="majorHAnsi"/>
          <w:sz w:val="24"/>
          <w:szCs w:val="24"/>
          <w:lang w:val="en-US"/>
        </w:rPr>
        <w:t xml:space="preserve"> case, the Inter-American Commission of Human Rights concluded that taking account of </w:t>
      </w:r>
      <w:r w:rsidR="00934D94">
        <w:rPr>
          <w:rFonts w:asciiTheme="majorHAnsi" w:hAnsiTheme="majorHAnsi"/>
          <w:sz w:val="24"/>
          <w:szCs w:val="24"/>
          <w:lang w:val="en-US"/>
        </w:rPr>
        <w:t>the complainant’s</w:t>
      </w:r>
      <w:r w:rsidR="004E6511">
        <w:rPr>
          <w:rFonts w:asciiTheme="majorHAnsi" w:hAnsiTheme="majorHAnsi"/>
          <w:sz w:val="24"/>
          <w:szCs w:val="24"/>
          <w:lang w:val="en-US"/>
        </w:rPr>
        <w:t xml:space="preserve"> rare medical condition, execution of Russel </w:t>
      </w:r>
      <w:proofErr w:type="spellStart"/>
      <w:r w:rsidR="004E6511">
        <w:rPr>
          <w:rFonts w:asciiTheme="majorHAnsi" w:hAnsiTheme="majorHAnsi"/>
          <w:sz w:val="24"/>
          <w:szCs w:val="24"/>
          <w:lang w:val="en-US"/>
        </w:rPr>
        <w:t>Bucklew</w:t>
      </w:r>
      <w:proofErr w:type="spellEnd"/>
      <w:r w:rsidR="00934D94">
        <w:rPr>
          <w:rFonts w:asciiTheme="majorHAnsi" w:hAnsiTheme="majorHAnsi"/>
          <w:sz w:val="24"/>
          <w:szCs w:val="24"/>
          <w:lang w:val="en-US"/>
        </w:rPr>
        <w:t xml:space="preserve"> by lethal injection </w:t>
      </w:r>
      <w:r w:rsidR="004E6511">
        <w:rPr>
          <w:rFonts w:asciiTheme="majorHAnsi" w:hAnsiTheme="majorHAnsi"/>
          <w:sz w:val="24"/>
          <w:szCs w:val="24"/>
          <w:lang w:val="en-US"/>
        </w:rPr>
        <w:t>risked causing excess</w:t>
      </w:r>
      <w:r w:rsidR="00F76C3C">
        <w:rPr>
          <w:rFonts w:asciiTheme="majorHAnsi" w:hAnsiTheme="majorHAnsi"/>
          <w:sz w:val="24"/>
          <w:szCs w:val="24"/>
          <w:lang w:val="en-US"/>
        </w:rPr>
        <w:t>ive suffering. H</w:t>
      </w:r>
      <w:r w:rsidR="004E6511">
        <w:rPr>
          <w:rFonts w:asciiTheme="majorHAnsi" w:hAnsiTheme="majorHAnsi"/>
          <w:sz w:val="24"/>
          <w:szCs w:val="24"/>
          <w:lang w:val="en-US"/>
        </w:rPr>
        <w:t>e was eventually executed on 1</w:t>
      </w:r>
      <w:r w:rsidR="004E6511" w:rsidRPr="004E6511">
        <w:rPr>
          <w:rFonts w:asciiTheme="majorHAnsi" w:hAnsiTheme="majorHAnsi"/>
          <w:sz w:val="24"/>
          <w:szCs w:val="24"/>
          <w:vertAlign w:val="superscript"/>
          <w:lang w:val="en-US"/>
        </w:rPr>
        <w:t>st</w:t>
      </w:r>
      <w:r w:rsidR="004E6511">
        <w:rPr>
          <w:rFonts w:asciiTheme="majorHAnsi" w:hAnsiTheme="majorHAnsi"/>
          <w:sz w:val="24"/>
          <w:szCs w:val="24"/>
          <w:lang w:val="en-US"/>
        </w:rPr>
        <w:t xml:space="preserve"> October 2019</w:t>
      </w:r>
      <w:r w:rsidR="00F76C3C">
        <w:rPr>
          <w:rFonts w:asciiTheme="majorHAnsi" w:hAnsiTheme="majorHAnsi"/>
          <w:sz w:val="24"/>
          <w:szCs w:val="24"/>
          <w:lang w:val="en-US"/>
        </w:rPr>
        <w:t xml:space="preserve"> (sedation was used, certain specific precautions were adopted, </w:t>
      </w:r>
      <w:r w:rsidR="003432A2">
        <w:rPr>
          <w:rFonts w:asciiTheme="majorHAnsi" w:hAnsiTheme="majorHAnsi"/>
          <w:sz w:val="24"/>
          <w:szCs w:val="24"/>
          <w:lang w:val="en-US"/>
        </w:rPr>
        <w:t>but the supplier of the lethal drug was not revealed</w:t>
      </w:r>
      <w:r w:rsidR="004E6511">
        <w:rPr>
          <w:rFonts w:asciiTheme="majorHAnsi" w:hAnsiTheme="majorHAnsi"/>
          <w:sz w:val="24"/>
          <w:szCs w:val="24"/>
          <w:lang w:val="en-US"/>
        </w:rPr>
        <w:t>).</w:t>
      </w:r>
    </w:p>
    <w:p w:rsidR="005F477D" w:rsidRDefault="005F477D" w:rsidP="00BD441A">
      <w:pPr>
        <w:pStyle w:val="Paragrafoelenco"/>
        <w:numPr>
          <w:ilvl w:val="0"/>
          <w:numId w:val="1"/>
        </w:numPr>
        <w:jc w:val="both"/>
        <w:rPr>
          <w:rFonts w:asciiTheme="majorHAnsi" w:hAnsiTheme="majorHAnsi"/>
          <w:b/>
          <w:sz w:val="24"/>
          <w:szCs w:val="24"/>
          <w:lang w:val="en-US"/>
        </w:rPr>
      </w:pPr>
      <w:r>
        <w:rPr>
          <w:rFonts w:asciiTheme="majorHAnsi" w:hAnsiTheme="majorHAnsi"/>
          <w:b/>
          <w:sz w:val="24"/>
          <w:szCs w:val="24"/>
          <w:lang w:val="en-US"/>
        </w:rPr>
        <w:t>Extradition to States that still use the death penalty</w:t>
      </w:r>
    </w:p>
    <w:p w:rsidR="005F477D" w:rsidRPr="00355893" w:rsidRDefault="005F477D" w:rsidP="00355893">
      <w:pPr>
        <w:jc w:val="both"/>
        <w:rPr>
          <w:rFonts w:asciiTheme="majorHAnsi" w:hAnsiTheme="majorHAnsi"/>
          <w:sz w:val="24"/>
          <w:szCs w:val="24"/>
          <w:lang w:val="en-US"/>
        </w:rPr>
      </w:pPr>
      <w:r w:rsidRPr="00DC0F6B">
        <w:rPr>
          <w:rFonts w:asciiTheme="majorHAnsi" w:hAnsiTheme="majorHAnsi"/>
          <w:sz w:val="24"/>
          <w:szCs w:val="24"/>
          <w:u w:val="single"/>
          <w:lang w:val="en-US"/>
        </w:rPr>
        <w:t>Note</w:t>
      </w:r>
      <w:r w:rsidR="00DC0F6B">
        <w:rPr>
          <w:rFonts w:asciiTheme="majorHAnsi" w:hAnsiTheme="majorHAnsi"/>
          <w:sz w:val="24"/>
          <w:szCs w:val="24"/>
          <w:lang w:val="en-US"/>
        </w:rPr>
        <w:t xml:space="preserve"> that the prohibition to extradite a person to States that still use</w:t>
      </w:r>
      <w:r>
        <w:rPr>
          <w:rFonts w:asciiTheme="majorHAnsi" w:hAnsiTheme="majorHAnsi"/>
          <w:sz w:val="24"/>
          <w:szCs w:val="24"/>
          <w:lang w:val="en-US"/>
        </w:rPr>
        <w:t xml:space="preserve"> the death penalty, unless </w:t>
      </w:r>
      <w:r w:rsidRPr="00DC0F6B">
        <w:rPr>
          <w:rFonts w:asciiTheme="majorHAnsi" w:hAnsiTheme="majorHAnsi"/>
          <w:sz w:val="24"/>
          <w:szCs w:val="24"/>
          <w:u w:val="single"/>
          <w:lang w:val="en-US"/>
        </w:rPr>
        <w:t>adequate</w:t>
      </w:r>
      <w:r w:rsidR="00DC0F6B">
        <w:rPr>
          <w:rFonts w:asciiTheme="majorHAnsi" w:hAnsiTheme="majorHAnsi"/>
          <w:sz w:val="24"/>
          <w:szCs w:val="24"/>
          <w:u w:val="single"/>
          <w:lang w:val="en-US"/>
        </w:rPr>
        <w:t>/serious</w:t>
      </w:r>
      <w:r w:rsidRPr="00DC0F6B">
        <w:rPr>
          <w:rFonts w:asciiTheme="majorHAnsi" w:hAnsiTheme="majorHAnsi"/>
          <w:sz w:val="24"/>
          <w:szCs w:val="24"/>
          <w:u w:val="single"/>
          <w:lang w:val="en-US"/>
        </w:rPr>
        <w:t xml:space="preserve"> assurances</w:t>
      </w:r>
      <w:r>
        <w:rPr>
          <w:rFonts w:asciiTheme="majorHAnsi" w:hAnsiTheme="majorHAnsi"/>
          <w:sz w:val="24"/>
          <w:szCs w:val="24"/>
          <w:lang w:val="en-US"/>
        </w:rPr>
        <w:t xml:space="preserve"> are provided that any death sentence will not be carried out, concerns not only States parties to the European Convention on Human Rights</w:t>
      </w:r>
      <w:r w:rsidR="00DC0F6B">
        <w:rPr>
          <w:rFonts w:asciiTheme="majorHAnsi" w:hAnsiTheme="majorHAnsi"/>
          <w:sz w:val="24"/>
          <w:szCs w:val="24"/>
          <w:lang w:val="en-US"/>
        </w:rPr>
        <w:t>,</w:t>
      </w:r>
      <w:r>
        <w:rPr>
          <w:rFonts w:asciiTheme="majorHAnsi" w:hAnsiTheme="majorHAnsi"/>
          <w:sz w:val="24"/>
          <w:szCs w:val="24"/>
          <w:lang w:val="en-US"/>
        </w:rPr>
        <w:t xml:space="preserve"> but also States parties to the United Nations Covenant on Civil and Political Rights </w:t>
      </w:r>
      <w:r w:rsidRPr="007D143E">
        <w:rPr>
          <w:rFonts w:asciiTheme="majorHAnsi" w:hAnsiTheme="majorHAnsi"/>
          <w:i/>
          <w:sz w:val="24"/>
          <w:szCs w:val="24"/>
          <w:u w:val="single"/>
          <w:lang w:val="en-US"/>
        </w:rPr>
        <w:t>that have abolished the death penalty</w:t>
      </w:r>
      <w:r>
        <w:rPr>
          <w:rFonts w:asciiTheme="majorHAnsi" w:hAnsiTheme="majorHAnsi"/>
          <w:sz w:val="24"/>
          <w:szCs w:val="24"/>
          <w:lang w:val="en-US"/>
        </w:rPr>
        <w:t xml:space="preserve"> (see the essay on the death penalty, at p. 57).</w:t>
      </w:r>
    </w:p>
    <w:p w:rsidR="00D47F23" w:rsidRDefault="00D47F23" w:rsidP="00BD441A">
      <w:pPr>
        <w:pStyle w:val="Paragrafoelenco"/>
        <w:numPr>
          <w:ilvl w:val="0"/>
          <w:numId w:val="1"/>
        </w:numPr>
        <w:jc w:val="both"/>
        <w:rPr>
          <w:rFonts w:asciiTheme="majorHAnsi" w:hAnsiTheme="majorHAnsi"/>
          <w:b/>
          <w:sz w:val="24"/>
          <w:szCs w:val="24"/>
          <w:lang w:val="en-US"/>
        </w:rPr>
      </w:pPr>
      <w:r>
        <w:rPr>
          <w:rFonts w:asciiTheme="majorHAnsi" w:hAnsiTheme="majorHAnsi"/>
          <w:b/>
          <w:sz w:val="24"/>
          <w:szCs w:val="24"/>
          <w:lang w:val="en-US"/>
        </w:rPr>
        <w:t>HRC/no veto</w:t>
      </w:r>
    </w:p>
    <w:p w:rsidR="00046044" w:rsidRDefault="004860D9" w:rsidP="004860D9">
      <w:pPr>
        <w:jc w:val="both"/>
        <w:rPr>
          <w:rFonts w:asciiTheme="majorHAnsi" w:hAnsiTheme="majorHAnsi"/>
          <w:sz w:val="24"/>
          <w:szCs w:val="24"/>
          <w:lang w:val="en-US"/>
        </w:rPr>
      </w:pPr>
      <w:r>
        <w:rPr>
          <w:rFonts w:asciiTheme="majorHAnsi" w:hAnsiTheme="majorHAnsi"/>
          <w:sz w:val="24"/>
          <w:szCs w:val="24"/>
          <w:lang w:val="en-US"/>
        </w:rPr>
        <w:t>Unlike the voting procedure in the Security Council of the United Nations (see article 27 of the Charter of the United Nations), no veto power exists with regard to the decision-making process of the Human Rights Council.</w:t>
      </w:r>
    </w:p>
    <w:p w:rsidR="00F14B83" w:rsidRPr="004860D9" w:rsidRDefault="00F14B83" w:rsidP="004860D9">
      <w:pPr>
        <w:jc w:val="both"/>
        <w:rPr>
          <w:rFonts w:asciiTheme="majorHAnsi" w:hAnsiTheme="majorHAnsi"/>
          <w:sz w:val="24"/>
          <w:szCs w:val="24"/>
          <w:lang w:val="en-US"/>
        </w:rPr>
      </w:pPr>
      <w:bookmarkStart w:id="0" w:name="_GoBack"/>
      <w:bookmarkEnd w:id="0"/>
    </w:p>
    <w:p w:rsidR="00D526DE" w:rsidRDefault="00D526DE" w:rsidP="00BD441A">
      <w:pPr>
        <w:pStyle w:val="Paragrafoelenco"/>
        <w:numPr>
          <w:ilvl w:val="0"/>
          <w:numId w:val="1"/>
        </w:numPr>
        <w:jc w:val="both"/>
        <w:rPr>
          <w:rFonts w:asciiTheme="majorHAnsi" w:hAnsiTheme="majorHAnsi"/>
          <w:b/>
          <w:sz w:val="24"/>
          <w:szCs w:val="24"/>
          <w:lang w:val="en-US"/>
        </w:rPr>
      </w:pPr>
      <w:r>
        <w:rPr>
          <w:rFonts w:asciiTheme="majorHAnsi" w:hAnsiTheme="majorHAnsi"/>
          <w:b/>
          <w:sz w:val="24"/>
          <w:szCs w:val="24"/>
          <w:lang w:val="en-US"/>
        </w:rPr>
        <w:lastRenderedPageBreak/>
        <w:t>Special procedures/key features</w:t>
      </w:r>
    </w:p>
    <w:p w:rsidR="00D526DE" w:rsidRPr="007D143E" w:rsidRDefault="004860D9" w:rsidP="007D143E">
      <w:pPr>
        <w:jc w:val="both"/>
        <w:rPr>
          <w:rFonts w:asciiTheme="majorHAnsi" w:hAnsiTheme="majorHAnsi"/>
          <w:sz w:val="24"/>
          <w:szCs w:val="24"/>
          <w:lang w:val="en-US"/>
        </w:rPr>
      </w:pPr>
      <w:r>
        <w:rPr>
          <w:rFonts w:asciiTheme="majorHAnsi" w:hAnsiTheme="majorHAnsi"/>
          <w:sz w:val="24"/>
          <w:szCs w:val="24"/>
          <w:lang w:val="en-US"/>
        </w:rPr>
        <w:t>With reference to p. 233 f. of the relevant material (Chapter 6 of M. Shaw’s International Law textbook</w:t>
      </w:r>
      <w:r w:rsidR="009A0035">
        <w:rPr>
          <w:rFonts w:asciiTheme="majorHAnsi" w:hAnsiTheme="majorHAnsi"/>
          <w:sz w:val="24"/>
          <w:szCs w:val="24"/>
          <w:lang w:val="en-US"/>
        </w:rPr>
        <w:t>)</w:t>
      </w:r>
      <w:r>
        <w:rPr>
          <w:rFonts w:asciiTheme="majorHAnsi" w:hAnsiTheme="majorHAnsi"/>
          <w:sz w:val="24"/>
          <w:szCs w:val="24"/>
          <w:lang w:val="en-US"/>
        </w:rPr>
        <w:t xml:space="preserve">, it is necessary to add that the </w:t>
      </w:r>
      <w:r w:rsidR="00320A5F">
        <w:rPr>
          <w:rFonts w:asciiTheme="majorHAnsi" w:hAnsiTheme="majorHAnsi"/>
          <w:sz w:val="24"/>
          <w:szCs w:val="24"/>
          <w:lang w:val="en-US"/>
        </w:rPr>
        <w:t xml:space="preserve">(now) </w:t>
      </w:r>
      <w:r>
        <w:rPr>
          <w:rFonts w:asciiTheme="majorHAnsi" w:hAnsiTheme="majorHAnsi"/>
          <w:sz w:val="24"/>
          <w:szCs w:val="24"/>
          <w:lang w:val="en-US"/>
        </w:rPr>
        <w:t xml:space="preserve">Human Rights Council’s special procedures (thematic mandates and country mandates) are entrusted to </w:t>
      </w:r>
      <w:r w:rsidR="00087EF7">
        <w:rPr>
          <w:rFonts w:asciiTheme="majorHAnsi" w:hAnsiTheme="majorHAnsi"/>
          <w:sz w:val="24"/>
          <w:szCs w:val="24"/>
          <w:lang w:val="en-US"/>
        </w:rPr>
        <w:t xml:space="preserve">unpaid </w:t>
      </w:r>
      <w:r>
        <w:rPr>
          <w:rFonts w:asciiTheme="majorHAnsi" w:hAnsiTheme="majorHAnsi"/>
          <w:sz w:val="24"/>
          <w:szCs w:val="24"/>
          <w:lang w:val="en-US"/>
        </w:rPr>
        <w:t>independent experts</w:t>
      </w:r>
      <w:r w:rsidR="00087EF7">
        <w:rPr>
          <w:rFonts w:asciiTheme="majorHAnsi" w:hAnsiTheme="majorHAnsi"/>
          <w:sz w:val="24"/>
          <w:szCs w:val="24"/>
          <w:lang w:val="en-US"/>
        </w:rPr>
        <w:t xml:space="preserve">, that act in their individual capacity. Special procedures can be entrusted either to individuals (typically called “Special Rapporteur”, but other denominations – such as “Representative of the Secretary-General” </w:t>
      </w:r>
      <w:r w:rsidR="009A0035">
        <w:rPr>
          <w:rFonts w:asciiTheme="majorHAnsi" w:hAnsiTheme="majorHAnsi"/>
          <w:sz w:val="24"/>
          <w:szCs w:val="24"/>
          <w:lang w:val="en-US"/>
        </w:rPr>
        <w:t>– are also used</w:t>
      </w:r>
      <w:r w:rsidR="00087EF7">
        <w:rPr>
          <w:rFonts w:asciiTheme="majorHAnsi" w:hAnsiTheme="majorHAnsi"/>
          <w:sz w:val="24"/>
          <w:szCs w:val="24"/>
          <w:lang w:val="en-US"/>
        </w:rPr>
        <w:t xml:space="preserve">) or to a working group. Depending on the scope of the mandate, their </w:t>
      </w:r>
      <w:r w:rsidR="009A0035">
        <w:rPr>
          <w:rFonts w:asciiTheme="majorHAnsi" w:hAnsiTheme="majorHAnsi"/>
          <w:sz w:val="24"/>
          <w:szCs w:val="24"/>
          <w:lang w:val="en-US"/>
        </w:rPr>
        <w:t>work can lead to a public report, which is then</w:t>
      </w:r>
      <w:r w:rsidR="00087EF7">
        <w:rPr>
          <w:rFonts w:asciiTheme="majorHAnsi" w:hAnsiTheme="majorHAnsi"/>
          <w:sz w:val="24"/>
          <w:szCs w:val="24"/>
          <w:lang w:val="en-US"/>
        </w:rPr>
        <w:t xml:space="preserve"> addressed to the Human Rights Council and/or the competent committee of the General Assembly, </w:t>
      </w:r>
      <w:r w:rsidR="009A0035">
        <w:rPr>
          <w:rFonts w:asciiTheme="majorHAnsi" w:hAnsiTheme="majorHAnsi"/>
          <w:sz w:val="24"/>
          <w:szCs w:val="24"/>
          <w:lang w:val="en-US"/>
        </w:rPr>
        <w:t xml:space="preserve">to </w:t>
      </w:r>
      <w:r w:rsidR="00087EF7">
        <w:rPr>
          <w:rFonts w:asciiTheme="majorHAnsi" w:hAnsiTheme="majorHAnsi"/>
          <w:sz w:val="24"/>
          <w:szCs w:val="24"/>
          <w:lang w:val="en-US"/>
        </w:rPr>
        <w:t xml:space="preserve">dealing with specific cases/situations and sending communications or appeals to States, </w:t>
      </w:r>
      <w:r w:rsidR="009A0035">
        <w:rPr>
          <w:rFonts w:asciiTheme="majorHAnsi" w:hAnsiTheme="majorHAnsi"/>
          <w:sz w:val="24"/>
          <w:szCs w:val="24"/>
          <w:lang w:val="en-US"/>
        </w:rPr>
        <w:t xml:space="preserve">and/or to </w:t>
      </w:r>
      <w:r w:rsidR="00087EF7">
        <w:rPr>
          <w:rFonts w:asciiTheme="majorHAnsi" w:hAnsiTheme="majorHAnsi"/>
          <w:sz w:val="24"/>
          <w:szCs w:val="24"/>
          <w:lang w:val="en-US"/>
        </w:rPr>
        <w:t>carrying out on-the-spot visits with the concerned State’s consent.</w:t>
      </w:r>
    </w:p>
    <w:p w:rsidR="0063517F" w:rsidRDefault="0063517F" w:rsidP="00BD441A">
      <w:pPr>
        <w:pStyle w:val="Paragrafoelenco"/>
        <w:numPr>
          <w:ilvl w:val="0"/>
          <w:numId w:val="1"/>
        </w:numPr>
        <w:jc w:val="both"/>
        <w:rPr>
          <w:rFonts w:asciiTheme="majorHAnsi" w:hAnsiTheme="majorHAnsi"/>
          <w:b/>
          <w:sz w:val="24"/>
          <w:szCs w:val="24"/>
          <w:lang w:val="en-US"/>
        </w:rPr>
      </w:pPr>
      <w:r>
        <w:rPr>
          <w:rFonts w:asciiTheme="majorHAnsi" w:hAnsiTheme="majorHAnsi"/>
          <w:b/>
          <w:sz w:val="24"/>
          <w:szCs w:val="24"/>
          <w:lang w:val="en-US"/>
        </w:rPr>
        <w:t>Definition of an international armed conflict</w:t>
      </w:r>
    </w:p>
    <w:p w:rsidR="0063517F" w:rsidRPr="0063517F" w:rsidRDefault="0063517F" w:rsidP="0063517F">
      <w:pPr>
        <w:jc w:val="both"/>
        <w:rPr>
          <w:rFonts w:asciiTheme="majorHAnsi" w:hAnsiTheme="majorHAnsi"/>
          <w:sz w:val="24"/>
          <w:szCs w:val="24"/>
          <w:lang w:val="en-US"/>
        </w:rPr>
      </w:pPr>
      <w:r>
        <w:rPr>
          <w:rFonts w:asciiTheme="majorHAnsi" w:hAnsiTheme="majorHAnsi"/>
          <w:sz w:val="24"/>
          <w:szCs w:val="24"/>
          <w:lang w:val="en-US"/>
        </w:rPr>
        <w:t>The relevant chapter</w:t>
      </w:r>
      <w:r w:rsidR="00100AA7">
        <w:rPr>
          <w:rFonts w:asciiTheme="majorHAnsi" w:hAnsiTheme="majorHAnsi"/>
          <w:sz w:val="24"/>
          <w:szCs w:val="24"/>
          <w:lang w:val="en-US"/>
        </w:rPr>
        <w:t xml:space="preserve"> (p. 913</w:t>
      </w:r>
      <w:r>
        <w:rPr>
          <w:rFonts w:asciiTheme="majorHAnsi" w:hAnsiTheme="majorHAnsi"/>
          <w:sz w:val="24"/>
          <w:szCs w:val="24"/>
          <w:lang w:val="en-US"/>
        </w:rPr>
        <w:t>) states that one of the two elements that distinguish international and internal armed conflicts is a foreign state directly intervening within a civil conflict. However, account must be taken of the recent pr</w:t>
      </w:r>
      <w:r w:rsidR="00071044">
        <w:rPr>
          <w:rFonts w:asciiTheme="majorHAnsi" w:hAnsiTheme="majorHAnsi"/>
          <w:sz w:val="24"/>
          <w:szCs w:val="24"/>
          <w:lang w:val="en-US"/>
        </w:rPr>
        <w:t>actice with regard to the</w:t>
      </w:r>
      <w:r>
        <w:rPr>
          <w:rFonts w:asciiTheme="majorHAnsi" w:hAnsiTheme="majorHAnsi"/>
          <w:sz w:val="24"/>
          <w:szCs w:val="24"/>
          <w:lang w:val="en-US"/>
        </w:rPr>
        <w:t xml:space="preserve"> conflict between the Iraqi Government and the international coalition on one side and ISIS insurgents on the other. In fact, several intervening states expressed the view that the conflict should still be considered as internal, the crucial criterion being the two warring sides’ identities: if one of them is a non-State actor</w:t>
      </w:r>
      <w:r w:rsidR="00617DD0">
        <w:rPr>
          <w:rFonts w:asciiTheme="majorHAnsi" w:hAnsiTheme="majorHAnsi"/>
          <w:sz w:val="24"/>
          <w:szCs w:val="24"/>
          <w:lang w:val="en-US"/>
        </w:rPr>
        <w:t>,</w:t>
      </w:r>
      <w:r>
        <w:rPr>
          <w:rFonts w:asciiTheme="majorHAnsi" w:hAnsiTheme="majorHAnsi"/>
          <w:sz w:val="24"/>
          <w:szCs w:val="24"/>
          <w:lang w:val="en-US"/>
        </w:rPr>
        <w:t xml:space="preserve"> then the conflict would be internal.</w:t>
      </w:r>
    </w:p>
    <w:p w:rsidR="00516B89" w:rsidRPr="0063517F" w:rsidRDefault="00516B89" w:rsidP="00BD441A">
      <w:pPr>
        <w:pStyle w:val="Paragrafoelenco"/>
        <w:numPr>
          <w:ilvl w:val="0"/>
          <w:numId w:val="1"/>
        </w:numPr>
        <w:jc w:val="both"/>
        <w:rPr>
          <w:rFonts w:asciiTheme="majorHAnsi" w:hAnsiTheme="majorHAnsi"/>
          <w:b/>
          <w:sz w:val="24"/>
          <w:szCs w:val="24"/>
          <w:lang w:val="en-US"/>
        </w:rPr>
      </w:pPr>
      <w:r w:rsidRPr="0063517F">
        <w:rPr>
          <w:rFonts w:asciiTheme="majorHAnsi" w:hAnsiTheme="majorHAnsi"/>
          <w:b/>
          <w:sz w:val="24"/>
          <w:szCs w:val="24"/>
          <w:lang w:val="en-US"/>
        </w:rPr>
        <w:t>Crime of aggression</w:t>
      </w:r>
    </w:p>
    <w:p w:rsidR="003C4A0B" w:rsidRDefault="003C4A0B" w:rsidP="00BD441A">
      <w:pPr>
        <w:jc w:val="both"/>
        <w:rPr>
          <w:rFonts w:asciiTheme="majorHAnsi" w:hAnsiTheme="majorHAnsi"/>
          <w:sz w:val="24"/>
          <w:szCs w:val="24"/>
          <w:lang w:val="en-US"/>
        </w:rPr>
      </w:pPr>
      <w:r>
        <w:rPr>
          <w:rFonts w:asciiTheme="majorHAnsi" w:hAnsiTheme="majorHAnsi"/>
          <w:sz w:val="24"/>
          <w:szCs w:val="24"/>
          <w:lang w:val="en-US"/>
        </w:rPr>
        <w:t>The ICC</w:t>
      </w:r>
      <w:r w:rsidR="00B9457B">
        <w:rPr>
          <w:rFonts w:asciiTheme="majorHAnsi" w:hAnsiTheme="majorHAnsi"/>
          <w:sz w:val="24"/>
          <w:szCs w:val="24"/>
          <w:lang w:val="en-US"/>
        </w:rPr>
        <w:t xml:space="preserve"> (International Criminal Court)</w:t>
      </w:r>
      <w:r>
        <w:rPr>
          <w:rFonts w:asciiTheme="majorHAnsi" w:hAnsiTheme="majorHAnsi"/>
          <w:sz w:val="24"/>
          <w:szCs w:val="24"/>
          <w:lang w:val="en-US"/>
        </w:rPr>
        <w:t xml:space="preserve"> Review Conference on the crime of aggression</w:t>
      </w:r>
      <w:r w:rsidR="00BD441A">
        <w:rPr>
          <w:rFonts w:asciiTheme="majorHAnsi" w:hAnsiTheme="majorHAnsi"/>
          <w:sz w:val="24"/>
          <w:szCs w:val="24"/>
          <w:lang w:val="en-US"/>
        </w:rPr>
        <w:t xml:space="preserve"> (in Kampala)</w:t>
      </w:r>
      <w:r>
        <w:rPr>
          <w:rFonts w:asciiTheme="majorHAnsi" w:hAnsiTheme="majorHAnsi"/>
          <w:sz w:val="24"/>
          <w:szCs w:val="24"/>
          <w:lang w:val="en-US"/>
        </w:rPr>
        <w:t xml:space="preserve"> was actually held in 2010 (this corrects the wrong date that appears at p. 327 of the chapter on “Individual Criminal Responsibility”). The definition of aggression (</w:t>
      </w:r>
      <w:r w:rsidR="009F69F6">
        <w:rPr>
          <w:rFonts w:asciiTheme="majorHAnsi" w:hAnsiTheme="majorHAnsi"/>
          <w:sz w:val="24"/>
          <w:szCs w:val="24"/>
          <w:lang w:val="en-US"/>
        </w:rPr>
        <w:t xml:space="preserve">embodied in </w:t>
      </w:r>
      <w:r>
        <w:rPr>
          <w:rFonts w:asciiTheme="majorHAnsi" w:hAnsiTheme="majorHAnsi"/>
          <w:sz w:val="24"/>
          <w:szCs w:val="24"/>
          <w:lang w:val="en-US"/>
        </w:rPr>
        <w:t xml:space="preserve">art. 8 </w:t>
      </w:r>
      <w:proofErr w:type="spellStart"/>
      <w:r w:rsidRPr="003C4A0B">
        <w:rPr>
          <w:rFonts w:asciiTheme="majorHAnsi" w:hAnsiTheme="majorHAnsi"/>
          <w:i/>
          <w:sz w:val="24"/>
          <w:szCs w:val="24"/>
          <w:lang w:val="en-US"/>
        </w:rPr>
        <w:t>bis</w:t>
      </w:r>
      <w:proofErr w:type="spellEnd"/>
      <w:r w:rsidR="00872B0C">
        <w:rPr>
          <w:rFonts w:asciiTheme="majorHAnsi" w:hAnsiTheme="majorHAnsi"/>
          <w:sz w:val="24"/>
          <w:szCs w:val="24"/>
          <w:lang w:val="en-US"/>
        </w:rPr>
        <w:t xml:space="preserve"> of the ICC Statute) has f</w:t>
      </w:r>
      <w:r w:rsidR="004C3CC5">
        <w:rPr>
          <w:rFonts w:asciiTheme="majorHAnsi" w:hAnsiTheme="majorHAnsi"/>
          <w:sz w:val="24"/>
          <w:szCs w:val="24"/>
          <w:lang w:val="en-US"/>
        </w:rPr>
        <w:t>or the time being ratified by 37</w:t>
      </w:r>
      <w:r w:rsidR="00872B0C">
        <w:rPr>
          <w:rFonts w:asciiTheme="majorHAnsi" w:hAnsiTheme="majorHAnsi"/>
          <w:sz w:val="24"/>
          <w:szCs w:val="24"/>
          <w:lang w:val="en-US"/>
        </w:rPr>
        <w:t xml:space="preserve"> of the States Parties to the ICC Statute (this updates the information provided in footnote no. 292 of the said chapter). The decision of the States Parties to activate the jurisdiction of the ICC with regard to the crime of aggression, referre</w:t>
      </w:r>
      <w:r w:rsidR="004C3CC5">
        <w:rPr>
          <w:rFonts w:asciiTheme="majorHAnsi" w:hAnsiTheme="majorHAnsi"/>
          <w:sz w:val="24"/>
          <w:szCs w:val="24"/>
          <w:lang w:val="en-US"/>
        </w:rPr>
        <w:t>d to in footnote no. 292, was made (by consensus)</w:t>
      </w:r>
      <w:r w:rsidR="00872B0C">
        <w:rPr>
          <w:rFonts w:asciiTheme="majorHAnsi" w:hAnsiTheme="majorHAnsi"/>
          <w:sz w:val="24"/>
          <w:szCs w:val="24"/>
          <w:lang w:val="en-US"/>
        </w:rPr>
        <w:t xml:space="preserve"> at the December 2017 session of the Assembly of States Parties.</w:t>
      </w:r>
    </w:p>
    <w:p w:rsidR="00B9457B" w:rsidRPr="0063517F" w:rsidRDefault="00B9457B" w:rsidP="00BD441A">
      <w:pPr>
        <w:pStyle w:val="Paragrafoelenco"/>
        <w:numPr>
          <w:ilvl w:val="0"/>
          <w:numId w:val="1"/>
        </w:numPr>
        <w:jc w:val="both"/>
        <w:rPr>
          <w:rFonts w:asciiTheme="majorHAnsi" w:hAnsiTheme="majorHAnsi"/>
          <w:b/>
          <w:sz w:val="24"/>
          <w:szCs w:val="24"/>
          <w:lang w:val="en-US"/>
        </w:rPr>
      </w:pPr>
      <w:r w:rsidRPr="0063517F">
        <w:rPr>
          <w:rFonts w:asciiTheme="majorHAnsi" w:hAnsiTheme="majorHAnsi"/>
          <w:b/>
          <w:sz w:val="24"/>
          <w:szCs w:val="24"/>
          <w:lang w:val="en-US"/>
        </w:rPr>
        <w:t>Situations investigated by the ICC</w:t>
      </w:r>
    </w:p>
    <w:p w:rsidR="003C4A0B" w:rsidRDefault="00BD441A" w:rsidP="00BD441A">
      <w:pPr>
        <w:jc w:val="both"/>
        <w:rPr>
          <w:rFonts w:asciiTheme="majorHAnsi" w:hAnsiTheme="majorHAnsi"/>
          <w:sz w:val="24"/>
          <w:szCs w:val="24"/>
          <w:lang w:val="en-US"/>
        </w:rPr>
      </w:pPr>
      <w:r>
        <w:rPr>
          <w:rFonts w:asciiTheme="majorHAnsi" w:hAnsiTheme="majorHAnsi"/>
          <w:sz w:val="24"/>
          <w:szCs w:val="24"/>
          <w:lang w:val="en-US"/>
        </w:rPr>
        <w:t>Georgia was the first non-African situation investigated by the ICC (with regard to the alleged</w:t>
      </w:r>
      <w:r w:rsidRPr="00BD441A">
        <w:rPr>
          <w:rFonts w:asciiTheme="majorHAnsi" w:hAnsiTheme="majorHAnsi"/>
          <w:sz w:val="24"/>
          <w:szCs w:val="24"/>
          <w:lang w:val="en-US"/>
        </w:rPr>
        <w:t xml:space="preserve"> crimes against humanity and war crime</w:t>
      </w:r>
      <w:r>
        <w:rPr>
          <w:rFonts w:asciiTheme="majorHAnsi" w:hAnsiTheme="majorHAnsi"/>
          <w:sz w:val="24"/>
          <w:szCs w:val="24"/>
          <w:lang w:val="en-US"/>
        </w:rPr>
        <w:t>s committed in the context of the</w:t>
      </w:r>
      <w:r w:rsidRPr="00BD441A">
        <w:rPr>
          <w:rFonts w:asciiTheme="majorHAnsi" w:hAnsiTheme="majorHAnsi"/>
          <w:sz w:val="24"/>
          <w:szCs w:val="24"/>
          <w:lang w:val="en-US"/>
        </w:rPr>
        <w:t xml:space="preserve"> international armed con</w:t>
      </w:r>
      <w:r w:rsidR="003F2213">
        <w:rPr>
          <w:rFonts w:asciiTheme="majorHAnsi" w:hAnsiTheme="majorHAnsi"/>
          <w:sz w:val="24"/>
          <w:szCs w:val="24"/>
          <w:lang w:val="en-US"/>
        </w:rPr>
        <w:t>flict that took place in 2008 and</w:t>
      </w:r>
      <w:r>
        <w:rPr>
          <w:rFonts w:asciiTheme="majorHAnsi" w:hAnsiTheme="majorHAnsi"/>
          <w:sz w:val="24"/>
          <w:szCs w:val="24"/>
          <w:lang w:val="en-US"/>
        </w:rPr>
        <w:t xml:space="preserve"> in which Russia was also involved). Afghanistan may soon follow if the Prosecutor’s request to be </w:t>
      </w:r>
      <w:proofErr w:type="spellStart"/>
      <w:r>
        <w:rPr>
          <w:rFonts w:asciiTheme="majorHAnsi" w:hAnsiTheme="majorHAnsi"/>
          <w:sz w:val="24"/>
          <w:szCs w:val="24"/>
          <w:lang w:val="en-US"/>
        </w:rPr>
        <w:t>authorised</w:t>
      </w:r>
      <w:proofErr w:type="spellEnd"/>
      <w:r>
        <w:rPr>
          <w:rFonts w:asciiTheme="majorHAnsi" w:hAnsiTheme="majorHAnsi"/>
          <w:sz w:val="24"/>
          <w:szCs w:val="24"/>
          <w:lang w:val="en-US"/>
        </w:rPr>
        <w:t xml:space="preserve"> to commence an investigation into the situation of Afghanistan is accepted by the ICC</w:t>
      </w:r>
      <w:r w:rsidR="002E3431">
        <w:rPr>
          <w:rFonts w:asciiTheme="majorHAnsi" w:hAnsiTheme="majorHAnsi"/>
          <w:sz w:val="24"/>
          <w:szCs w:val="24"/>
          <w:lang w:val="en-US"/>
        </w:rPr>
        <w:t xml:space="preserve"> (this can be followed on the International Criminal Court’s website).</w:t>
      </w:r>
    </w:p>
    <w:sectPr w:rsidR="003C4A0B">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7F0" w:rsidRDefault="00E817F0" w:rsidP="00067C41">
      <w:pPr>
        <w:spacing w:after="0" w:line="240" w:lineRule="auto"/>
      </w:pPr>
      <w:r>
        <w:separator/>
      </w:r>
    </w:p>
  </w:endnote>
  <w:endnote w:type="continuationSeparator" w:id="0">
    <w:p w:rsidR="00E817F0" w:rsidRDefault="00E817F0" w:rsidP="0006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787489"/>
      <w:docPartObj>
        <w:docPartGallery w:val="Page Numbers (Bottom of Page)"/>
        <w:docPartUnique/>
      </w:docPartObj>
    </w:sdtPr>
    <w:sdtEndPr/>
    <w:sdtContent>
      <w:p w:rsidR="00067C41" w:rsidRDefault="00067C41">
        <w:pPr>
          <w:pStyle w:val="Pidipagina"/>
          <w:jc w:val="right"/>
        </w:pPr>
        <w:r>
          <w:fldChar w:fldCharType="begin"/>
        </w:r>
        <w:r>
          <w:instrText>PAGE   \* MERGEFORMAT</w:instrText>
        </w:r>
        <w:r>
          <w:fldChar w:fldCharType="separate"/>
        </w:r>
        <w:r w:rsidR="00F14B83">
          <w:rPr>
            <w:noProof/>
          </w:rPr>
          <w:t>5</w:t>
        </w:r>
        <w:r>
          <w:fldChar w:fldCharType="end"/>
        </w:r>
      </w:p>
    </w:sdtContent>
  </w:sdt>
  <w:p w:rsidR="00067C41" w:rsidRDefault="00067C4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7F0" w:rsidRDefault="00E817F0" w:rsidP="00067C41">
      <w:pPr>
        <w:spacing w:after="0" w:line="240" w:lineRule="auto"/>
      </w:pPr>
      <w:r>
        <w:separator/>
      </w:r>
    </w:p>
  </w:footnote>
  <w:footnote w:type="continuationSeparator" w:id="0">
    <w:p w:rsidR="00E817F0" w:rsidRDefault="00E817F0" w:rsidP="00067C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57036"/>
    <w:multiLevelType w:val="hybridMultilevel"/>
    <w:tmpl w:val="04BCFB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C1"/>
    <w:rsid w:val="00046044"/>
    <w:rsid w:val="00067C41"/>
    <w:rsid w:val="00071044"/>
    <w:rsid w:val="00087EF7"/>
    <w:rsid w:val="000A68AA"/>
    <w:rsid w:val="000F355E"/>
    <w:rsid w:val="00100AA7"/>
    <w:rsid w:val="001321E9"/>
    <w:rsid w:val="001721B5"/>
    <w:rsid w:val="00191488"/>
    <w:rsid w:val="00223B33"/>
    <w:rsid w:val="00242B48"/>
    <w:rsid w:val="002760A6"/>
    <w:rsid w:val="002E3431"/>
    <w:rsid w:val="002E4FDD"/>
    <w:rsid w:val="00320A5F"/>
    <w:rsid w:val="003432A2"/>
    <w:rsid w:val="00355893"/>
    <w:rsid w:val="00355BD4"/>
    <w:rsid w:val="00363060"/>
    <w:rsid w:val="00395021"/>
    <w:rsid w:val="003B30CB"/>
    <w:rsid w:val="003C4A0B"/>
    <w:rsid w:val="003F2213"/>
    <w:rsid w:val="00445CFE"/>
    <w:rsid w:val="00460530"/>
    <w:rsid w:val="00465209"/>
    <w:rsid w:val="004677DA"/>
    <w:rsid w:val="00474034"/>
    <w:rsid w:val="004860D9"/>
    <w:rsid w:val="00495EE3"/>
    <w:rsid w:val="004B77E4"/>
    <w:rsid w:val="004C3CC5"/>
    <w:rsid w:val="004E6511"/>
    <w:rsid w:val="00516B89"/>
    <w:rsid w:val="005B003B"/>
    <w:rsid w:val="005D4E4B"/>
    <w:rsid w:val="005F477D"/>
    <w:rsid w:val="0060164E"/>
    <w:rsid w:val="00617DD0"/>
    <w:rsid w:val="006212AE"/>
    <w:rsid w:val="0062683D"/>
    <w:rsid w:val="0063517F"/>
    <w:rsid w:val="00641619"/>
    <w:rsid w:val="00647286"/>
    <w:rsid w:val="00674211"/>
    <w:rsid w:val="006F0EA1"/>
    <w:rsid w:val="00747BD5"/>
    <w:rsid w:val="007D143E"/>
    <w:rsid w:val="007F6132"/>
    <w:rsid w:val="00807C18"/>
    <w:rsid w:val="008231D9"/>
    <w:rsid w:val="00872B0C"/>
    <w:rsid w:val="008813D0"/>
    <w:rsid w:val="00934D94"/>
    <w:rsid w:val="009575F1"/>
    <w:rsid w:val="009679B6"/>
    <w:rsid w:val="009A0035"/>
    <w:rsid w:val="009B4551"/>
    <w:rsid w:val="009F69F6"/>
    <w:rsid w:val="00A30963"/>
    <w:rsid w:val="00AF7D2F"/>
    <w:rsid w:val="00B26B13"/>
    <w:rsid w:val="00B56973"/>
    <w:rsid w:val="00B641D9"/>
    <w:rsid w:val="00B9457B"/>
    <w:rsid w:val="00BD441A"/>
    <w:rsid w:val="00BE08C1"/>
    <w:rsid w:val="00C767B0"/>
    <w:rsid w:val="00D47F23"/>
    <w:rsid w:val="00D526DE"/>
    <w:rsid w:val="00D76F31"/>
    <w:rsid w:val="00DC0F6B"/>
    <w:rsid w:val="00E817F0"/>
    <w:rsid w:val="00F14B83"/>
    <w:rsid w:val="00F76C3C"/>
    <w:rsid w:val="00F77A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56973"/>
    <w:pPr>
      <w:ind w:left="720"/>
      <w:contextualSpacing/>
    </w:pPr>
  </w:style>
  <w:style w:type="character" w:styleId="Collegamentoipertestuale">
    <w:name w:val="Hyperlink"/>
    <w:basedOn w:val="Carpredefinitoparagrafo"/>
    <w:uiPriority w:val="99"/>
    <w:unhideWhenUsed/>
    <w:rsid w:val="003C4A0B"/>
    <w:rPr>
      <w:color w:val="0000FF" w:themeColor="hyperlink"/>
      <w:u w:val="single"/>
    </w:rPr>
  </w:style>
  <w:style w:type="paragraph" w:styleId="Intestazione">
    <w:name w:val="header"/>
    <w:basedOn w:val="Normale"/>
    <w:link w:val="IntestazioneCarattere"/>
    <w:uiPriority w:val="99"/>
    <w:unhideWhenUsed/>
    <w:rsid w:val="00067C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7C41"/>
  </w:style>
  <w:style w:type="paragraph" w:styleId="Pidipagina">
    <w:name w:val="footer"/>
    <w:basedOn w:val="Normale"/>
    <w:link w:val="PidipaginaCarattere"/>
    <w:uiPriority w:val="99"/>
    <w:unhideWhenUsed/>
    <w:rsid w:val="00067C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7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56973"/>
    <w:pPr>
      <w:ind w:left="720"/>
      <w:contextualSpacing/>
    </w:pPr>
  </w:style>
  <w:style w:type="character" w:styleId="Collegamentoipertestuale">
    <w:name w:val="Hyperlink"/>
    <w:basedOn w:val="Carpredefinitoparagrafo"/>
    <w:uiPriority w:val="99"/>
    <w:unhideWhenUsed/>
    <w:rsid w:val="003C4A0B"/>
    <w:rPr>
      <w:color w:val="0000FF" w:themeColor="hyperlink"/>
      <w:u w:val="single"/>
    </w:rPr>
  </w:style>
  <w:style w:type="paragraph" w:styleId="Intestazione">
    <w:name w:val="header"/>
    <w:basedOn w:val="Normale"/>
    <w:link w:val="IntestazioneCarattere"/>
    <w:uiPriority w:val="99"/>
    <w:unhideWhenUsed/>
    <w:rsid w:val="00067C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7C41"/>
  </w:style>
  <w:style w:type="paragraph" w:styleId="Pidipagina">
    <w:name w:val="footer"/>
    <w:basedOn w:val="Normale"/>
    <w:link w:val="PidipaginaCarattere"/>
    <w:uiPriority w:val="99"/>
    <w:unhideWhenUsed/>
    <w:rsid w:val="00067C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udoc.echr.coe.int/eng-pr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udoc.echr.coe.int/e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udoc.echr.coe.int/eng" TargetMode="External"/><Relationship Id="rId5" Type="http://schemas.openxmlformats.org/officeDocument/2006/relationships/settings" Target="settings.xml"/><Relationship Id="rId15" Type="http://schemas.openxmlformats.org/officeDocument/2006/relationships/hyperlink" Target="http://research.un.org/en/docs/ga/quick/regular/73" TargetMode="External"/><Relationship Id="rId10" Type="http://schemas.openxmlformats.org/officeDocument/2006/relationships/hyperlink" Target="https://hudoc.echr.coe.int/eng-press" TargetMode="External"/><Relationship Id="rId4" Type="http://schemas.microsoft.com/office/2007/relationships/stylesWithEffects" Target="stylesWithEffects.xml"/><Relationship Id="rId9" Type="http://schemas.openxmlformats.org/officeDocument/2006/relationships/hyperlink" Target="https://hudoc.echr.coe.int/eng-press" TargetMode="External"/><Relationship Id="rId14" Type="http://schemas.openxmlformats.org/officeDocument/2006/relationships/hyperlink" Target="https://www.consilium.europa.eu/en/press/press-releases/2019/10/09/joint-declaration-by-the-eu-high-representative-for-foreign-affairs-and-security-policy-and-the-secretary-general-of-the-council-of-europe-on-the-european-and-world-day-against-the-death-penalt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E69B8-A981-4A80-A10B-147075B7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2312</Words>
  <Characters>13183</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dc:creator>
  <cp:lastModifiedBy>Papi</cp:lastModifiedBy>
  <cp:revision>26</cp:revision>
  <dcterms:created xsi:type="dcterms:W3CDTF">2019-07-08T10:09:00Z</dcterms:created>
  <dcterms:modified xsi:type="dcterms:W3CDTF">2019-11-29T14:15:00Z</dcterms:modified>
</cp:coreProperties>
</file>