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A9" w:rsidRPr="004249A1" w:rsidRDefault="00E04FF4" w:rsidP="005107BC">
      <w:pPr>
        <w:jc w:val="both"/>
        <w:rPr>
          <w:rFonts w:asciiTheme="majorHAnsi" w:hAnsiTheme="majorHAnsi"/>
          <w:b/>
          <w:sz w:val="28"/>
          <w:szCs w:val="28"/>
          <w:lang w:val="en-US"/>
        </w:rPr>
      </w:pPr>
      <w:r w:rsidRPr="004249A1">
        <w:rPr>
          <w:rFonts w:asciiTheme="majorHAnsi" w:hAnsiTheme="majorHAnsi"/>
          <w:b/>
          <w:sz w:val="28"/>
          <w:szCs w:val="28"/>
          <w:lang w:val="en-US"/>
        </w:rPr>
        <w:t>International Law (Prof. Antonio</w:t>
      </w:r>
      <w:r w:rsidR="0082390C">
        <w:rPr>
          <w:rFonts w:asciiTheme="majorHAnsi" w:hAnsiTheme="majorHAnsi"/>
          <w:b/>
          <w:sz w:val="28"/>
          <w:szCs w:val="28"/>
          <w:lang w:val="en-US"/>
        </w:rPr>
        <w:t xml:space="preserve"> Bultrini) – Academic year 2019</w:t>
      </w:r>
      <w:r w:rsidR="00227A32" w:rsidRPr="004249A1">
        <w:rPr>
          <w:rFonts w:asciiTheme="majorHAnsi" w:hAnsiTheme="majorHAnsi"/>
          <w:b/>
          <w:sz w:val="28"/>
          <w:szCs w:val="28"/>
          <w:lang w:val="en-US"/>
        </w:rPr>
        <w:t>/</w:t>
      </w:r>
      <w:r w:rsidR="0082390C">
        <w:rPr>
          <w:rFonts w:asciiTheme="majorHAnsi" w:hAnsiTheme="majorHAnsi"/>
          <w:b/>
          <w:sz w:val="28"/>
          <w:szCs w:val="28"/>
          <w:lang w:val="en-US"/>
        </w:rPr>
        <w:t>2020</w:t>
      </w:r>
    </w:p>
    <w:p w:rsidR="002D1D35" w:rsidRDefault="00E04FF4" w:rsidP="00B44EF5">
      <w:pPr>
        <w:jc w:val="center"/>
        <w:rPr>
          <w:rFonts w:asciiTheme="majorHAnsi" w:hAnsiTheme="majorHAnsi"/>
          <w:b/>
          <w:sz w:val="28"/>
          <w:szCs w:val="28"/>
          <w:u w:val="single"/>
          <w:lang w:val="en-US"/>
        </w:rPr>
      </w:pPr>
      <w:r w:rsidRPr="00B44EF5">
        <w:rPr>
          <w:rFonts w:asciiTheme="majorHAnsi" w:hAnsiTheme="majorHAnsi"/>
          <w:b/>
          <w:sz w:val="28"/>
          <w:szCs w:val="28"/>
          <w:u w:val="single"/>
          <w:lang w:val="en-US"/>
        </w:rPr>
        <w:t>Complementary elements</w:t>
      </w:r>
    </w:p>
    <w:p w:rsidR="00C41D2C" w:rsidRDefault="00C41D2C" w:rsidP="00C41D2C">
      <w:pPr>
        <w:jc w:val="both"/>
        <w:rPr>
          <w:rFonts w:asciiTheme="majorHAnsi" w:hAnsiTheme="majorHAnsi"/>
          <w:sz w:val="24"/>
          <w:szCs w:val="24"/>
          <w:lang w:val="en-US"/>
        </w:rPr>
      </w:pPr>
      <w:r w:rsidRPr="00C41D2C">
        <w:rPr>
          <w:rFonts w:asciiTheme="majorHAnsi" w:hAnsiTheme="majorHAnsi"/>
          <w:b/>
          <w:i/>
          <w:sz w:val="24"/>
          <w:szCs w:val="24"/>
          <w:u w:val="single"/>
          <w:lang w:val="en-US"/>
        </w:rPr>
        <w:t>IMPORTANT NOTE</w:t>
      </w:r>
      <w:r w:rsidRPr="00C41D2C">
        <w:rPr>
          <w:rFonts w:asciiTheme="majorHAnsi" w:hAnsiTheme="majorHAnsi"/>
          <w:b/>
          <w:sz w:val="24"/>
          <w:szCs w:val="24"/>
          <w:lang w:val="en-US"/>
        </w:rPr>
        <w:t xml:space="preserve">: </w:t>
      </w:r>
      <w:r w:rsidRPr="00C41D2C">
        <w:rPr>
          <w:rFonts w:asciiTheme="majorHAnsi" w:hAnsiTheme="majorHAnsi"/>
          <w:sz w:val="24"/>
          <w:szCs w:val="24"/>
          <w:lang w:val="en-US"/>
        </w:rPr>
        <w:t>complementary elements update or complete</w:t>
      </w:r>
      <w:r w:rsidR="00385968">
        <w:rPr>
          <w:rFonts w:asciiTheme="majorHAnsi" w:hAnsiTheme="majorHAnsi"/>
          <w:sz w:val="24"/>
          <w:szCs w:val="24"/>
          <w:lang w:val="en-US"/>
        </w:rPr>
        <w:t xml:space="preserve">/modify the textbook's contents and are an integral part of the </w:t>
      </w:r>
      <w:proofErr w:type="spellStart"/>
      <w:r w:rsidR="00385968">
        <w:rPr>
          <w:rFonts w:asciiTheme="majorHAnsi" w:hAnsiTheme="majorHAnsi"/>
          <w:sz w:val="24"/>
          <w:szCs w:val="24"/>
          <w:lang w:val="en-US"/>
        </w:rPr>
        <w:t>programme</w:t>
      </w:r>
      <w:proofErr w:type="spellEnd"/>
      <w:r w:rsidR="00385968">
        <w:rPr>
          <w:rFonts w:asciiTheme="majorHAnsi" w:hAnsiTheme="majorHAnsi"/>
          <w:sz w:val="24"/>
          <w:szCs w:val="24"/>
          <w:lang w:val="en-US"/>
        </w:rPr>
        <w:t xml:space="preserve"> for the exam</w:t>
      </w:r>
      <w:r w:rsidRPr="00C41D2C">
        <w:rPr>
          <w:rFonts w:asciiTheme="majorHAnsi" w:hAnsiTheme="majorHAnsi"/>
          <w:sz w:val="24"/>
          <w:szCs w:val="24"/>
          <w:lang w:val="en-US"/>
        </w:rPr>
        <w:t>.</w:t>
      </w:r>
    </w:p>
    <w:p w:rsidR="00CE38ED" w:rsidRPr="00C41D2C" w:rsidRDefault="00CE38ED" w:rsidP="00C41D2C">
      <w:pPr>
        <w:jc w:val="both"/>
        <w:rPr>
          <w:rFonts w:asciiTheme="majorHAnsi" w:hAnsiTheme="majorHAnsi"/>
          <w:b/>
          <w:sz w:val="24"/>
          <w:szCs w:val="24"/>
          <w:lang w:val="en-US"/>
        </w:rPr>
      </w:pPr>
      <w:r w:rsidRPr="00CE38ED">
        <w:rPr>
          <w:rFonts w:asciiTheme="majorHAnsi" w:hAnsiTheme="majorHAnsi"/>
          <w:b/>
          <w:i/>
          <w:sz w:val="24"/>
          <w:szCs w:val="24"/>
          <w:u w:val="single"/>
          <w:lang w:val="en-US"/>
        </w:rPr>
        <w:t>DISCLAIMER</w:t>
      </w:r>
      <w:r>
        <w:rPr>
          <w:rFonts w:asciiTheme="majorHAnsi" w:hAnsiTheme="majorHAnsi"/>
          <w:sz w:val="24"/>
          <w:szCs w:val="24"/>
          <w:lang w:val="en-US"/>
        </w:rPr>
        <w:t>: t</w:t>
      </w:r>
      <w:r w:rsidRPr="00CE38ED">
        <w:rPr>
          <w:rFonts w:asciiTheme="majorHAnsi" w:hAnsiTheme="majorHAnsi"/>
          <w:sz w:val="24"/>
          <w:szCs w:val="24"/>
          <w:lang w:val="en-US"/>
        </w:rPr>
        <w:t xml:space="preserve">he following complementary elements have been edited by Professor </w:t>
      </w:r>
      <w:proofErr w:type="spellStart"/>
      <w:r w:rsidRPr="00CE38ED">
        <w:rPr>
          <w:rFonts w:asciiTheme="majorHAnsi" w:hAnsiTheme="majorHAnsi"/>
          <w:sz w:val="24"/>
          <w:szCs w:val="24"/>
          <w:lang w:val="en-US"/>
        </w:rPr>
        <w:t>Bultrini</w:t>
      </w:r>
      <w:proofErr w:type="spellEnd"/>
      <w:r w:rsidRPr="00CE38ED">
        <w:rPr>
          <w:rFonts w:asciiTheme="majorHAnsi" w:hAnsiTheme="majorHAnsi"/>
          <w:sz w:val="24"/>
          <w:szCs w:val="24"/>
          <w:lang w:val="en-US"/>
        </w:rPr>
        <w:t xml:space="preserve"> and have not been submitted to or approved by the author of the textbook, Professor Malcolm N. Shaw. Therefore, </w:t>
      </w:r>
      <w:r w:rsidR="00791614">
        <w:rPr>
          <w:rFonts w:asciiTheme="majorHAnsi" w:hAnsiTheme="majorHAnsi"/>
          <w:sz w:val="24"/>
          <w:szCs w:val="24"/>
          <w:lang w:val="en-US"/>
        </w:rPr>
        <w:t xml:space="preserve">apart from those including </w:t>
      </w:r>
      <w:r w:rsidRPr="00CE38ED">
        <w:rPr>
          <w:rFonts w:asciiTheme="majorHAnsi" w:hAnsiTheme="majorHAnsi"/>
          <w:sz w:val="24"/>
          <w:szCs w:val="24"/>
          <w:lang w:val="en-US"/>
        </w:rPr>
        <w:t xml:space="preserve">factual elements, they express solely Professor </w:t>
      </w:r>
      <w:proofErr w:type="spellStart"/>
      <w:r w:rsidRPr="00CE38ED">
        <w:rPr>
          <w:rFonts w:asciiTheme="majorHAnsi" w:hAnsiTheme="majorHAnsi"/>
          <w:sz w:val="24"/>
          <w:szCs w:val="24"/>
          <w:lang w:val="en-US"/>
        </w:rPr>
        <w:t>Bultrini’s</w:t>
      </w:r>
      <w:proofErr w:type="spellEnd"/>
      <w:r w:rsidRPr="00CE38ED">
        <w:rPr>
          <w:rFonts w:asciiTheme="majorHAnsi" w:hAnsiTheme="majorHAnsi"/>
          <w:sz w:val="24"/>
          <w:szCs w:val="24"/>
          <w:lang w:val="en-US"/>
        </w:rPr>
        <w:t xml:space="preserve"> views.</w:t>
      </w:r>
    </w:p>
    <w:p w:rsidR="009B2270" w:rsidRPr="005107BC" w:rsidRDefault="00DE69BF" w:rsidP="005107BC">
      <w:pPr>
        <w:pStyle w:val="Paragrafoelenco"/>
        <w:numPr>
          <w:ilvl w:val="0"/>
          <w:numId w:val="3"/>
        </w:numPr>
        <w:jc w:val="both"/>
        <w:rPr>
          <w:rFonts w:asciiTheme="majorHAnsi" w:hAnsiTheme="majorHAnsi"/>
          <w:u w:val="single"/>
          <w:lang w:val="en-US"/>
        </w:rPr>
      </w:pPr>
      <w:r>
        <w:rPr>
          <w:rFonts w:asciiTheme="majorHAnsi" w:hAnsiTheme="majorHAnsi"/>
          <w:u w:val="single"/>
          <w:lang w:val="en-US"/>
        </w:rPr>
        <w:t xml:space="preserve">Taiwan </w:t>
      </w:r>
      <w:r w:rsidRPr="00316B98">
        <w:rPr>
          <w:rFonts w:asciiTheme="majorHAnsi" w:hAnsiTheme="majorHAnsi"/>
          <w:u w:val="single"/>
          <w:lang w:val="en-US"/>
        </w:rPr>
        <w:t>and Kosovo</w:t>
      </w:r>
    </w:p>
    <w:p w:rsidR="009B2270" w:rsidRDefault="009B2270" w:rsidP="005107BC">
      <w:pPr>
        <w:jc w:val="both"/>
        <w:rPr>
          <w:rFonts w:asciiTheme="majorHAnsi" w:hAnsiTheme="majorHAnsi"/>
          <w:lang w:val="en-US"/>
        </w:rPr>
      </w:pPr>
      <w:r w:rsidRPr="009B2270">
        <w:rPr>
          <w:rFonts w:asciiTheme="majorHAnsi" w:hAnsiTheme="majorHAnsi"/>
          <w:lang w:val="en-US"/>
        </w:rPr>
        <w:t>T</w:t>
      </w:r>
      <w:r w:rsidR="00084B1F">
        <w:rPr>
          <w:rFonts w:asciiTheme="majorHAnsi" w:hAnsiTheme="majorHAnsi"/>
          <w:lang w:val="en-US"/>
        </w:rPr>
        <w:t xml:space="preserve">he textbook </w:t>
      </w:r>
      <w:r w:rsidR="002C252D" w:rsidRPr="009B2270">
        <w:rPr>
          <w:rFonts w:asciiTheme="majorHAnsi" w:hAnsiTheme="majorHAnsi"/>
          <w:lang w:val="en-US"/>
        </w:rPr>
        <w:t>refers to the “(t)</w:t>
      </w:r>
      <w:proofErr w:type="spellStart"/>
      <w:r w:rsidR="002C252D" w:rsidRPr="009B2270">
        <w:rPr>
          <w:rFonts w:asciiTheme="majorHAnsi" w:hAnsiTheme="majorHAnsi"/>
          <w:lang w:val="en-US"/>
        </w:rPr>
        <w:t>otal</w:t>
      </w:r>
      <w:proofErr w:type="spellEnd"/>
      <w:r w:rsidR="002C252D" w:rsidRPr="009B2270">
        <w:rPr>
          <w:rFonts w:asciiTheme="majorHAnsi" w:hAnsiTheme="majorHAnsi"/>
          <w:lang w:val="en-US"/>
        </w:rPr>
        <w:t xml:space="preserve"> lac</w:t>
      </w:r>
      <w:r w:rsidRPr="009B2270">
        <w:rPr>
          <w:rFonts w:asciiTheme="majorHAnsi" w:hAnsiTheme="majorHAnsi"/>
          <w:lang w:val="en-US"/>
        </w:rPr>
        <w:t xml:space="preserve">k of recognition of Taiwan as a  </w:t>
      </w:r>
      <w:r w:rsidR="002C252D" w:rsidRPr="009B2270">
        <w:rPr>
          <w:rFonts w:asciiTheme="majorHAnsi" w:hAnsiTheme="majorHAnsi"/>
          <w:lang w:val="en-US"/>
        </w:rPr>
        <w:t>separate independent state” as reinforcing the fact that Taiwan would hardly be recognized the status of statehood it allegedly would never h</w:t>
      </w:r>
      <w:r w:rsidR="00A0522B">
        <w:rPr>
          <w:rFonts w:asciiTheme="majorHAnsi" w:hAnsiTheme="majorHAnsi"/>
          <w:lang w:val="en-US"/>
        </w:rPr>
        <w:t xml:space="preserve">ave sought. However, </w:t>
      </w:r>
      <w:r w:rsidRPr="009B2270">
        <w:rPr>
          <w:rFonts w:asciiTheme="majorHAnsi" w:hAnsiTheme="majorHAnsi"/>
          <w:lang w:val="en-US"/>
        </w:rPr>
        <w:t>Taiwan</w:t>
      </w:r>
      <w:r w:rsidR="00A0522B">
        <w:rPr>
          <w:rFonts w:asciiTheme="majorHAnsi" w:hAnsiTheme="majorHAnsi"/>
          <w:lang w:val="en-US"/>
        </w:rPr>
        <w:t xml:space="preserve"> (which has its own Ministry of Foreign Affairs: </w:t>
      </w:r>
      <w:hyperlink r:id="rId9" w:history="1">
        <w:r w:rsidR="00A0522B" w:rsidRPr="00CF51C7">
          <w:rPr>
            <w:rStyle w:val="Collegamentoipertestuale"/>
            <w:rFonts w:asciiTheme="majorHAnsi" w:hAnsiTheme="majorHAnsi"/>
            <w:lang w:val="en-US"/>
          </w:rPr>
          <w:t>http://www.mofa.gov.tw/en/default.html</w:t>
        </w:r>
      </w:hyperlink>
      <w:r w:rsidR="00A0522B">
        <w:rPr>
          <w:rFonts w:asciiTheme="majorHAnsi" w:hAnsiTheme="majorHAnsi"/>
          <w:lang w:val="en-US"/>
        </w:rPr>
        <w:t xml:space="preserve"> )</w:t>
      </w:r>
      <w:r w:rsidRPr="009B2270">
        <w:rPr>
          <w:rFonts w:asciiTheme="majorHAnsi" w:hAnsiTheme="majorHAnsi"/>
          <w:lang w:val="en-US"/>
        </w:rPr>
        <w:t xml:space="preserve"> has</w:t>
      </w:r>
      <w:r w:rsidR="00A0522B">
        <w:rPr>
          <w:rFonts w:asciiTheme="majorHAnsi" w:hAnsiTheme="majorHAnsi"/>
          <w:lang w:val="en-US"/>
        </w:rPr>
        <w:t xml:space="preserve"> in fact</w:t>
      </w:r>
      <w:r w:rsidRPr="009B2270">
        <w:rPr>
          <w:rFonts w:asciiTheme="majorHAnsi" w:hAnsiTheme="majorHAnsi"/>
          <w:lang w:val="en-US"/>
        </w:rPr>
        <w:t xml:space="preserve"> sought recognition and</w:t>
      </w:r>
      <w:r w:rsidR="00E7018D">
        <w:rPr>
          <w:rFonts w:asciiTheme="majorHAnsi" w:hAnsiTheme="majorHAnsi"/>
          <w:lang w:val="en-US"/>
        </w:rPr>
        <w:t xml:space="preserve"> </w:t>
      </w:r>
      <w:r w:rsidR="00BA5AB0">
        <w:rPr>
          <w:rFonts w:asciiTheme="majorHAnsi" w:hAnsiTheme="majorHAnsi"/>
          <w:lang w:val="en-US"/>
        </w:rPr>
        <w:t xml:space="preserve">has so far been recognized by </w:t>
      </w:r>
      <w:r w:rsidR="0097502D">
        <w:rPr>
          <w:rFonts w:asciiTheme="majorHAnsi" w:hAnsiTheme="majorHAnsi"/>
          <w:b/>
          <w:lang w:val="en-US"/>
        </w:rPr>
        <w:t>14</w:t>
      </w:r>
      <w:r w:rsidR="00714898" w:rsidRPr="001F428C">
        <w:rPr>
          <w:rFonts w:asciiTheme="majorHAnsi" w:hAnsiTheme="majorHAnsi"/>
          <w:b/>
          <w:lang w:val="en-US"/>
        </w:rPr>
        <w:t xml:space="preserve"> States</w:t>
      </w:r>
      <w:r w:rsidR="00A9443B" w:rsidRPr="001F428C">
        <w:rPr>
          <w:rFonts w:asciiTheme="majorHAnsi" w:hAnsiTheme="majorHAnsi"/>
          <w:b/>
          <w:lang w:val="en-US"/>
        </w:rPr>
        <w:t xml:space="preserve"> plus the Holy See</w:t>
      </w:r>
      <w:r w:rsidR="00714898">
        <w:rPr>
          <w:rFonts w:asciiTheme="majorHAnsi" w:hAnsiTheme="majorHAnsi"/>
          <w:lang w:val="en-US"/>
        </w:rPr>
        <w:t xml:space="preserve"> (although</w:t>
      </w:r>
      <w:r w:rsidR="001F428C">
        <w:rPr>
          <w:rFonts w:asciiTheme="majorHAnsi" w:hAnsiTheme="majorHAnsi"/>
          <w:lang w:val="en-US"/>
        </w:rPr>
        <w:t xml:space="preserve"> </w:t>
      </w:r>
      <w:r w:rsidR="00714898">
        <w:rPr>
          <w:rFonts w:asciiTheme="majorHAnsi" w:hAnsiTheme="majorHAnsi"/>
          <w:lang w:val="en-US"/>
        </w:rPr>
        <w:t>none of the main international powers are amongst them</w:t>
      </w:r>
      <w:r w:rsidR="00E7018D">
        <w:rPr>
          <w:rFonts w:asciiTheme="majorHAnsi" w:hAnsiTheme="majorHAnsi"/>
          <w:lang w:val="en-US"/>
        </w:rPr>
        <w:t xml:space="preserve">). </w:t>
      </w:r>
      <w:r w:rsidR="00714898">
        <w:rPr>
          <w:rFonts w:asciiTheme="majorHAnsi" w:hAnsiTheme="majorHAnsi"/>
          <w:lang w:val="en-US"/>
        </w:rPr>
        <w:t>Furthermore</w:t>
      </w:r>
      <w:r w:rsidR="006964C5">
        <w:rPr>
          <w:rFonts w:asciiTheme="majorHAnsi" w:hAnsiTheme="majorHAnsi"/>
          <w:lang w:val="en-US"/>
        </w:rPr>
        <w:t xml:space="preserve"> and above all</w:t>
      </w:r>
      <w:r w:rsidR="00714898">
        <w:rPr>
          <w:rFonts w:asciiTheme="majorHAnsi" w:hAnsiTheme="majorHAnsi"/>
          <w:lang w:val="en-US"/>
        </w:rPr>
        <w:t>, Taiwan regularly negotiates and concludes bilateral treaties in an autonomous manner. A major example of this is the 2013 Taiwan-Japan Fisheries Agreement.</w:t>
      </w:r>
      <w:r w:rsidR="006964C5">
        <w:rPr>
          <w:rFonts w:asciiTheme="majorHAnsi" w:hAnsiTheme="majorHAnsi"/>
          <w:lang w:val="en-US"/>
        </w:rPr>
        <w:t xml:space="preserve"> Therefore, irrespectiv</w:t>
      </w:r>
      <w:r w:rsidR="0087499D">
        <w:rPr>
          <w:rFonts w:asciiTheme="majorHAnsi" w:hAnsiTheme="majorHAnsi"/>
          <w:lang w:val="en-US"/>
        </w:rPr>
        <w:t>e of China’s position and of the so-called “one-China policy” (</w:t>
      </w:r>
      <w:r w:rsidR="0087499D" w:rsidRPr="00272347">
        <w:rPr>
          <w:rFonts w:asciiTheme="majorHAnsi" w:hAnsiTheme="majorHAnsi"/>
          <w:lang w:val="en-US"/>
        </w:rPr>
        <w:t>a 1992 agreement where both sides agreed there was only one China b</w:t>
      </w:r>
      <w:r w:rsidR="00084B1F" w:rsidRPr="00272347">
        <w:rPr>
          <w:rFonts w:asciiTheme="majorHAnsi" w:hAnsiTheme="majorHAnsi"/>
          <w:lang w:val="en-US"/>
        </w:rPr>
        <w:t>ut the divergent interpretation</w:t>
      </w:r>
      <w:r w:rsidR="0087499D" w:rsidRPr="00272347">
        <w:rPr>
          <w:rFonts w:asciiTheme="majorHAnsi" w:hAnsiTheme="majorHAnsi"/>
          <w:lang w:val="en-US"/>
        </w:rPr>
        <w:t xml:space="preserve"> of which lead</w:t>
      </w:r>
      <w:r w:rsidR="00084B1F" w:rsidRPr="00272347">
        <w:rPr>
          <w:rFonts w:asciiTheme="majorHAnsi" w:hAnsiTheme="majorHAnsi"/>
          <w:lang w:val="en-US"/>
        </w:rPr>
        <w:t>s</w:t>
      </w:r>
      <w:r w:rsidR="0087499D" w:rsidRPr="00272347">
        <w:rPr>
          <w:rFonts w:asciiTheme="majorHAnsi" w:hAnsiTheme="majorHAnsi"/>
          <w:lang w:val="en-US"/>
        </w:rPr>
        <w:t xml:space="preserve"> China to demand </w:t>
      </w:r>
      <w:r w:rsidR="00347DDB" w:rsidRPr="00272347">
        <w:rPr>
          <w:rFonts w:asciiTheme="majorHAnsi" w:hAnsiTheme="majorHAnsi"/>
          <w:lang w:val="en-US"/>
        </w:rPr>
        <w:t>that third-States do</w:t>
      </w:r>
      <w:r w:rsidR="00726B42" w:rsidRPr="00272347">
        <w:rPr>
          <w:rFonts w:asciiTheme="majorHAnsi" w:hAnsiTheme="majorHAnsi"/>
          <w:lang w:val="en-US"/>
        </w:rPr>
        <w:t xml:space="preserve"> not </w:t>
      </w:r>
      <w:proofErr w:type="spellStart"/>
      <w:r w:rsidR="00726B42" w:rsidRPr="00272347">
        <w:rPr>
          <w:rFonts w:asciiTheme="majorHAnsi" w:hAnsiTheme="majorHAnsi"/>
          <w:lang w:val="en-US"/>
        </w:rPr>
        <w:t>recognise</w:t>
      </w:r>
      <w:proofErr w:type="spellEnd"/>
      <w:r w:rsidR="00726B42" w:rsidRPr="00272347">
        <w:rPr>
          <w:rFonts w:asciiTheme="majorHAnsi" w:hAnsiTheme="majorHAnsi"/>
          <w:lang w:val="en-US"/>
        </w:rPr>
        <w:t xml:space="preserve"> Taiwa</w:t>
      </w:r>
      <w:r w:rsidR="00347DDB" w:rsidRPr="00272347">
        <w:rPr>
          <w:rFonts w:asciiTheme="majorHAnsi" w:hAnsiTheme="majorHAnsi"/>
          <w:lang w:val="en-US"/>
        </w:rPr>
        <w:t>n</w:t>
      </w:r>
      <w:r w:rsidR="0087499D">
        <w:rPr>
          <w:rFonts w:asciiTheme="majorHAnsi" w:hAnsiTheme="majorHAnsi"/>
          <w:lang w:val="en-US"/>
        </w:rPr>
        <w:t>)</w:t>
      </w:r>
      <w:r w:rsidR="00347DDB">
        <w:rPr>
          <w:rFonts w:asciiTheme="majorHAnsi" w:hAnsiTheme="majorHAnsi"/>
          <w:lang w:val="en-US"/>
        </w:rPr>
        <w:t>, in substance Taiwan does appear</w:t>
      </w:r>
      <w:r w:rsidR="00726B42">
        <w:rPr>
          <w:rFonts w:asciiTheme="majorHAnsi" w:hAnsiTheme="majorHAnsi"/>
          <w:lang w:val="en-US"/>
        </w:rPr>
        <w:t xml:space="preserve"> to fulfil all four b</w:t>
      </w:r>
      <w:r w:rsidR="00084B1F">
        <w:rPr>
          <w:rFonts w:asciiTheme="majorHAnsi" w:hAnsiTheme="majorHAnsi"/>
          <w:lang w:val="en-US"/>
        </w:rPr>
        <w:t>asic requirements for</w:t>
      </w:r>
      <w:r w:rsidR="00347DDB">
        <w:rPr>
          <w:rFonts w:asciiTheme="majorHAnsi" w:hAnsiTheme="majorHAnsi"/>
          <w:lang w:val="en-US"/>
        </w:rPr>
        <w:t xml:space="preserve"> statehood</w:t>
      </w:r>
      <w:r w:rsidR="00726B42">
        <w:rPr>
          <w:rFonts w:asciiTheme="majorHAnsi" w:hAnsiTheme="majorHAnsi"/>
          <w:lang w:val="en-US"/>
        </w:rPr>
        <w:t>.</w:t>
      </w:r>
    </w:p>
    <w:p w:rsidR="00DE69BF" w:rsidRPr="00316B98" w:rsidRDefault="00DE69BF" w:rsidP="005107BC">
      <w:pPr>
        <w:jc w:val="both"/>
        <w:rPr>
          <w:rFonts w:asciiTheme="majorHAnsi" w:hAnsiTheme="majorHAnsi"/>
          <w:lang w:val="en-US"/>
        </w:rPr>
      </w:pPr>
      <w:r w:rsidRPr="00316B98">
        <w:rPr>
          <w:rFonts w:asciiTheme="majorHAnsi" w:hAnsiTheme="majorHAnsi"/>
          <w:lang w:val="en-US"/>
        </w:rPr>
        <w:t xml:space="preserve">At this moment, Kosovo is </w:t>
      </w:r>
      <w:proofErr w:type="spellStart"/>
      <w:r w:rsidRPr="00316B98">
        <w:rPr>
          <w:rFonts w:asciiTheme="majorHAnsi" w:hAnsiTheme="majorHAnsi"/>
          <w:lang w:val="en-US"/>
        </w:rPr>
        <w:t>recognised</w:t>
      </w:r>
      <w:proofErr w:type="spellEnd"/>
      <w:r w:rsidRPr="00316B98">
        <w:rPr>
          <w:rFonts w:asciiTheme="majorHAnsi" w:hAnsiTheme="majorHAnsi"/>
          <w:lang w:val="en-US"/>
        </w:rPr>
        <w:t xml:space="preserve"> as a State by </w:t>
      </w:r>
      <w:r w:rsidR="00697CF6" w:rsidRPr="00272347">
        <w:rPr>
          <w:rFonts w:asciiTheme="majorHAnsi" w:hAnsiTheme="majorHAnsi"/>
          <w:lang w:val="en-US"/>
        </w:rPr>
        <w:t>114</w:t>
      </w:r>
      <w:r w:rsidRPr="00316B98">
        <w:rPr>
          <w:rFonts w:asciiTheme="majorHAnsi" w:hAnsiTheme="majorHAnsi"/>
          <w:lang w:val="en-US"/>
        </w:rPr>
        <w:t xml:space="preserve"> States (see </w:t>
      </w:r>
      <w:hyperlink r:id="rId10" w:history="1">
        <w:r w:rsidR="001F428C" w:rsidRPr="002A1251">
          <w:rPr>
            <w:rStyle w:val="Collegamentoipertestuale"/>
            <w:rFonts w:asciiTheme="majorHAnsi" w:hAnsiTheme="majorHAnsi"/>
            <w:lang w:val="en-US"/>
          </w:rPr>
          <w:t>http://www.mfa-ks.net/en/politika/483/njohjet-ndrkombtare-t-republiks-s-kosovs/483</w:t>
        </w:r>
      </w:hyperlink>
      <w:r w:rsidR="001F428C">
        <w:rPr>
          <w:rFonts w:asciiTheme="majorHAnsi" w:hAnsiTheme="majorHAnsi"/>
          <w:lang w:val="en-US"/>
        </w:rPr>
        <w:t xml:space="preserve"> </w:t>
      </w:r>
      <w:r w:rsidR="005A18FF" w:rsidRPr="00316B98">
        <w:rPr>
          <w:rFonts w:asciiTheme="majorHAnsi" w:hAnsiTheme="majorHAnsi"/>
          <w:lang w:val="en-US"/>
        </w:rPr>
        <w:t xml:space="preserve">). </w:t>
      </w:r>
      <w:r w:rsidRPr="00316B98">
        <w:rPr>
          <w:rFonts w:asciiTheme="majorHAnsi" w:hAnsiTheme="majorHAnsi"/>
          <w:lang w:val="en-US"/>
        </w:rPr>
        <w:t xml:space="preserve">Among European Union member States, Cyprus, Greece, Romania, Slovakia and Spain do not </w:t>
      </w:r>
      <w:r w:rsidR="005A18FF" w:rsidRPr="00316B98">
        <w:rPr>
          <w:rFonts w:asciiTheme="majorHAnsi" w:hAnsiTheme="majorHAnsi"/>
          <w:lang w:val="en-US"/>
        </w:rPr>
        <w:t xml:space="preserve">yet </w:t>
      </w:r>
      <w:proofErr w:type="spellStart"/>
      <w:r w:rsidR="005A18FF" w:rsidRPr="00316B98">
        <w:rPr>
          <w:rFonts w:asciiTheme="majorHAnsi" w:hAnsiTheme="majorHAnsi"/>
          <w:lang w:val="en-US"/>
        </w:rPr>
        <w:t>recognis</w:t>
      </w:r>
      <w:r w:rsidR="0062724F" w:rsidRPr="00316B98">
        <w:rPr>
          <w:rFonts w:asciiTheme="majorHAnsi" w:hAnsiTheme="majorHAnsi"/>
          <w:lang w:val="en-US"/>
        </w:rPr>
        <w:t>e</w:t>
      </w:r>
      <w:proofErr w:type="spellEnd"/>
      <w:r w:rsidR="0062724F" w:rsidRPr="00316B98">
        <w:rPr>
          <w:rFonts w:asciiTheme="majorHAnsi" w:hAnsiTheme="majorHAnsi"/>
          <w:lang w:val="en-US"/>
        </w:rPr>
        <w:t xml:space="preserve"> Kosovo as a State.</w:t>
      </w:r>
    </w:p>
    <w:p w:rsidR="009B2270" w:rsidRPr="005107BC" w:rsidRDefault="009B2270" w:rsidP="005107BC">
      <w:pPr>
        <w:pStyle w:val="Paragrafoelenco"/>
        <w:numPr>
          <w:ilvl w:val="0"/>
          <w:numId w:val="3"/>
        </w:numPr>
        <w:jc w:val="both"/>
        <w:rPr>
          <w:rFonts w:asciiTheme="majorHAnsi" w:hAnsiTheme="majorHAnsi"/>
          <w:u w:val="single"/>
          <w:lang w:val="en-US"/>
        </w:rPr>
      </w:pPr>
      <w:r w:rsidRPr="005107BC">
        <w:rPr>
          <w:rFonts w:asciiTheme="majorHAnsi" w:hAnsiTheme="majorHAnsi"/>
          <w:u w:val="single"/>
          <w:lang w:val="en-US"/>
        </w:rPr>
        <w:t>“Persistent objector rule”</w:t>
      </w:r>
    </w:p>
    <w:p w:rsidR="00D46930" w:rsidRDefault="00D70C72" w:rsidP="005107BC">
      <w:pPr>
        <w:jc w:val="both"/>
        <w:rPr>
          <w:rFonts w:asciiTheme="majorHAnsi" w:hAnsiTheme="majorHAnsi"/>
          <w:b/>
          <w:lang w:val="en-US"/>
        </w:rPr>
      </w:pPr>
      <w:r>
        <w:rPr>
          <w:rFonts w:asciiTheme="majorHAnsi" w:hAnsiTheme="majorHAnsi"/>
          <w:lang w:val="en-US"/>
        </w:rPr>
        <w:t xml:space="preserve">The textbook defines </w:t>
      </w:r>
      <w:r w:rsidR="009B2270">
        <w:rPr>
          <w:rFonts w:asciiTheme="majorHAnsi" w:hAnsiTheme="majorHAnsi"/>
          <w:lang w:val="en-US"/>
        </w:rPr>
        <w:t>the “persistent objector” doctrin</w:t>
      </w:r>
      <w:r>
        <w:rPr>
          <w:rFonts w:asciiTheme="majorHAnsi" w:hAnsiTheme="majorHAnsi"/>
          <w:lang w:val="en-US"/>
        </w:rPr>
        <w:t>e in that a State «</w:t>
      </w:r>
      <w:r w:rsidR="009B2270">
        <w:rPr>
          <w:rFonts w:asciiTheme="majorHAnsi" w:hAnsiTheme="majorHAnsi"/>
          <w:lang w:val="en-US"/>
        </w:rPr>
        <w:t>opposing the existence of a custom from its inception</w:t>
      </w:r>
      <w:r w:rsidR="00F931C4">
        <w:rPr>
          <w:rFonts w:asciiTheme="majorHAnsi" w:hAnsiTheme="majorHAnsi"/>
          <w:lang w:val="en-US"/>
        </w:rPr>
        <w:t xml:space="preserve"> would not b</w:t>
      </w:r>
      <w:r>
        <w:rPr>
          <w:rFonts w:asciiTheme="majorHAnsi" w:hAnsiTheme="majorHAnsi"/>
          <w:lang w:val="en-US"/>
        </w:rPr>
        <w:t>e bound by it»</w:t>
      </w:r>
      <w:r w:rsidR="00F931C4">
        <w:rPr>
          <w:rFonts w:asciiTheme="majorHAnsi" w:hAnsiTheme="majorHAnsi"/>
          <w:lang w:val="en-US"/>
        </w:rPr>
        <w:t>. However, in these terms this doctrine</w:t>
      </w:r>
      <w:r w:rsidR="00050D9D">
        <w:rPr>
          <w:rFonts w:asciiTheme="majorHAnsi" w:hAnsiTheme="majorHAnsi"/>
          <w:lang w:val="en-US"/>
        </w:rPr>
        <w:t xml:space="preserve">, </w:t>
      </w:r>
      <w:r w:rsidR="00050D9D" w:rsidRPr="00316B98">
        <w:rPr>
          <w:rFonts w:asciiTheme="majorHAnsi" w:hAnsiTheme="majorHAnsi"/>
          <w:lang w:val="en-US"/>
        </w:rPr>
        <w:t>whi</w:t>
      </w:r>
      <w:r w:rsidR="005A18FF" w:rsidRPr="00316B98">
        <w:rPr>
          <w:rFonts w:asciiTheme="majorHAnsi" w:hAnsiTheme="majorHAnsi"/>
          <w:lang w:val="en-US"/>
        </w:rPr>
        <w:t>ch reflects a contractual idea</w:t>
      </w:r>
      <w:r w:rsidR="00050D9D" w:rsidRPr="00316B98">
        <w:rPr>
          <w:rFonts w:asciiTheme="majorHAnsi" w:hAnsiTheme="majorHAnsi"/>
          <w:lang w:val="en-US"/>
        </w:rPr>
        <w:t xml:space="preserve"> of customary norms,</w:t>
      </w:r>
      <w:r w:rsidR="00F931C4" w:rsidRPr="00316B98">
        <w:rPr>
          <w:rFonts w:asciiTheme="majorHAnsi" w:hAnsiTheme="majorHAnsi"/>
          <w:lang w:val="en-US"/>
        </w:rPr>
        <w:t xml:space="preserve"> </w:t>
      </w:r>
      <w:r w:rsidR="00D46930">
        <w:rPr>
          <w:rFonts w:asciiTheme="majorHAnsi" w:hAnsiTheme="majorHAnsi"/>
          <w:lang w:val="en-US"/>
        </w:rPr>
        <w:t>is controversial</w:t>
      </w:r>
      <w:r w:rsidR="00291AC9" w:rsidRPr="00316B98">
        <w:rPr>
          <w:rFonts w:asciiTheme="majorHAnsi" w:hAnsiTheme="majorHAnsi"/>
          <w:lang w:val="en-US"/>
        </w:rPr>
        <w:t>. In particular, it has</w:t>
      </w:r>
      <w:r w:rsidR="00050D9D" w:rsidRPr="00316B98">
        <w:rPr>
          <w:rFonts w:asciiTheme="majorHAnsi" w:hAnsiTheme="majorHAnsi"/>
          <w:lang w:val="en-US"/>
        </w:rPr>
        <w:t xml:space="preserve"> not been reiterated</w:t>
      </w:r>
      <w:r w:rsidR="00291AC9" w:rsidRPr="00316B98">
        <w:rPr>
          <w:rFonts w:asciiTheme="majorHAnsi" w:hAnsiTheme="majorHAnsi"/>
          <w:lang w:val="en-US"/>
        </w:rPr>
        <w:t xml:space="preserve"> in any </w:t>
      </w:r>
      <w:r w:rsidR="00050D9D" w:rsidRPr="00316B98">
        <w:rPr>
          <w:rFonts w:asciiTheme="majorHAnsi" w:hAnsiTheme="majorHAnsi"/>
          <w:lang w:val="en-US"/>
        </w:rPr>
        <w:t xml:space="preserve">of the more </w:t>
      </w:r>
      <w:r w:rsidR="005A18FF" w:rsidRPr="00316B98">
        <w:rPr>
          <w:rFonts w:asciiTheme="majorHAnsi" w:hAnsiTheme="majorHAnsi"/>
          <w:lang w:val="en-US"/>
        </w:rPr>
        <w:t>recent judg</w:t>
      </w:r>
      <w:r w:rsidR="00291AC9" w:rsidRPr="00316B98">
        <w:rPr>
          <w:rFonts w:asciiTheme="majorHAnsi" w:hAnsiTheme="majorHAnsi"/>
          <w:lang w:val="en-US"/>
        </w:rPr>
        <w:t>ment</w:t>
      </w:r>
      <w:r w:rsidR="00050D9D" w:rsidRPr="00316B98">
        <w:rPr>
          <w:rFonts w:asciiTheme="majorHAnsi" w:hAnsiTheme="majorHAnsi"/>
          <w:lang w:val="en-US"/>
        </w:rPr>
        <w:t>s</w:t>
      </w:r>
      <w:r w:rsidR="00291AC9" w:rsidRPr="00316B98">
        <w:rPr>
          <w:rFonts w:asciiTheme="majorHAnsi" w:hAnsiTheme="majorHAnsi"/>
          <w:lang w:val="en-US"/>
        </w:rPr>
        <w:t xml:space="preserve"> of the International Court of Justice</w:t>
      </w:r>
      <w:r w:rsidR="00291AC9" w:rsidRPr="00050D9D">
        <w:rPr>
          <w:rFonts w:asciiTheme="majorHAnsi" w:hAnsiTheme="majorHAnsi"/>
          <w:b/>
          <w:lang w:val="en-US"/>
        </w:rPr>
        <w:t xml:space="preserve">. </w:t>
      </w:r>
      <w:r w:rsidR="00D46930" w:rsidRPr="00272347">
        <w:rPr>
          <w:rFonts w:asciiTheme="majorHAnsi" w:hAnsiTheme="majorHAnsi"/>
          <w:lang w:val="en-US"/>
        </w:rPr>
        <w:t>On the other hand, some States still support the doctrine (e.g. the United States, the United Kingdom, Turkey) and the Internati</w:t>
      </w:r>
      <w:r w:rsidR="00F91CC3" w:rsidRPr="00272347">
        <w:rPr>
          <w:rFonts w:asciiTheme="majorHAnsi" w:hAnsiTheme="majorHAnsi"/>
          <w:lang w:val="en-US"/>
        </w:rPr>
        <w:t>onal Law Comm</w:t>
      </w:r>
      <w:r w:rsidR="00820720" w:rsidRPr="00272347">
        <w:rPr>
          <w:rFonts w:asciiTheme="majorHAnsi" w:hAnsiTheme="majorHAnsi"/>
          <w:lang w:val="en-US"/>
        </w:rPr>
        <w:t>ission, in its draft</w:t>
      </w:r>
      <w:r w:rsidR="00F91CC3" w:rsidRPr="00272347">
        <w:rPr>
          <w:rFonts w:asciiTheme="majorHAnsi" w:hAnsiTheme="majorHAnsi"/>
          <w:lang w:val="en-US"/>
        </w:rPr>
        <w:t xml:space="preserve"> conclusions</w:t>
      </w:r>
      <w:r w:rsidR="00D46930" w:rsidRPr="00272347">
        <w:rPr>
          <w:rFonts w:asciiTheme="majorHAnsi" w:hAnsiTheme="majorHAnsi"/>
          <w:lang w:val="en-US"/>
        </w:rPr>
        <w:t xml:space="preserve"> on i</w:t>
      </w:r>
      <w:r w:rsidR="00F91CC3" w:rsidRPr="00272347">
        <w:rPr>
          <w:rFonts w:asciiTheme="majorHAnsi" w:hAnsiTheme="majorHAnsi"/>
          <w:lang w:val="en-US"/>
        </w:rPr>
        <w:t>dentification of customary international law</w:t>
      </w:r>
      <w:r w:rsidR="00D46930" w:rsidRPr="00272347">
        <w:rPr>
          <w:rFonts w:asciiTheme="majorHAnsi" w:hAnsiTheme="majorHAnsi"/>
          <w:lang w:val="en-US"/>
        </w:rPr>
        <w:t>, takes account of it</w:t>
      </w:r>
      <w:r w:rsidR="00F91CC3" w:rsidRPr="00272347">
        <w:rPr>
          <w:rFonts w:asciiTheme="majorHAnsi" w:hAnsiTheme="majorHAnsi"/>
          <w:lang w:val="en-US"/>
        </w:rPr>
        <w:t>.</w:t>
      </w:r>
    </w:p>
    <w:p w:rsidR="009B2270" w:rsidRDefault="00291AC9" w:rsidP="005107BC">
      <w:pPr>
        <w:jc w:val="both"/>
        <w:rPr>
          <w:rFonts w:asciiTheme="majorHAnsi" w:hAnsiTheme="majorHAnsi"/>
          <w:lang w:val="en-US"/>
        </w:rPr>
      </w:pPr>
      <w:r w:rsidRPr="00316B98">
        <w:rPr>
          <w:rFonts w:asciiTheme="majorHAnsi" w:hAnsiTheme="majorHAnsi"/>
          <w:lang w:val="en-US"/>
        </w:rPr>
        <w:t>Having said that, the current legal dynamics</w:t>
      </w:r>
      <w:r w:rsidR="00F153D2" w:rsidRPr="00316B98">
        <w:rPr>
          <w:rFonts w:asciiTheme="majorHAnsi" w:hAnsiTheme="majorHAnsi"/>
          <w:lang w:val="en-US"/>
        </w:rPr>
        <w:t xml:space="preserve"> </w:t>
      </w:r>
      <w:r w:rsidR="000F3065">
        <w:rPr>
          <w:rFonts w:asciiTheme="majorHAnsi" w:hAnsiTheme="majorHAnsi"/>
          <w:lang w:val="en-US"/>
        </w:rPr>
        <w:t xml:space="preserve">save </w:t>
      </w:r>
      <w:r w:rsidR="00520232">
        <w:rPr>
          <w:rFonts w:asciiTheme="majorHAnsi" w:hAnsiTheme="majorHAnsi"/>
          <w:lang w:val="en-US"/>
        </w:rPr>
        <w:t>in any case</w:t>
      </w:r>
      <w:r w:rsidR="000F3065">
        <w:rPr>
          <w:rFonts w:asciiTheme="majorHAnsi" w:hAnsiTheme="majorHAnsi"/>
          <w:lang w:val="en-US"/>
        </w:rPr>
        <w:t xml:space="preserve"> </w:t>
      </w:r>
      <w:r w:rsidRPr="00316B98">
        <w:rPr>
          <w:rFonts w:asciiTheme="majorHAnsi" w:hAnsiTheme="majorHAnsi"/>
          <w:lang w:val="en-US"/>
        </w:rPr>
        <w:t>the possibility that the relevant States’ acquiescence vis-à-vis the position o</w:t>
      </w:r>
      <w:r w:rsidR="000F3065">
        <w:rPr>
          <w:rFonts w:asciiTheme="majorHAnsi" w:hAnsiTheme="majorHAnsi"/>
          <w:lang w:val="en-US"/>
        </w:rPr>
        <w:t>f a possible objector would lead to</w:t>
      </w:r>
      <w:r w:rsidRPr="00316B98">
        <w:rPr>
          <w:rFonts w:asciiTheme="majorHAnsi" w:hAnsiTheme="majorHAnsi"/>
          <w:lang w:val="en-US"/>
        </w:rPr>
        <w:t xml:space="preserve"> a derogation being granted to the latter. The derogation’s scope would however be relative</w:t>
      </w:r>
      <w:r w:rsidR="002D6204">
        <w:rPr>
          <w:rFonts w:asciiTheme="majorHAnsi" w:hAnsiTheme="majorHAnsi"/>
          <w:lang w:val="en-US"/>
        </w:rPr>
        <w:t>,</w:t>
      </w:r>
      <w:r w:rsidRPr="00316B98">
        <w:rPr>
          <w:rFonts w:asciiTheme="majorHAnsi" w:hAnsiTheme="majorHAnsi"/>
          <w:lang w:val="en-US"/>
        </w:rPr>
        <w:t xml:space="preserve"> in that it would only apply to the relations between the objecting State and the acquiescent States (of course, subject to compliance with peremptory norms). A</w:t>
      </w:r>
      <w:r w:rsidR="000F3065">
        <w:rPr>
          <w:rFonts w:asciiTheme="majorHAnsi" w:hAnsiTheme="majorHAnsi"/>
          <w:lang w:val="en-US"/>
        </w:rPr>
        <w:t>nother possible development resulting from</w:t>
      </w:r>
      <w:r w:rsidRPr="00316B98">
        <w:rPr>
          <w:rFonts w:asciiTheme="majorHAnsi" w:hAnsiTheme="majorHAnsi"/>
          <w:lang w:val="en-US"/>
        </w:rPr>
        <w:t xml:space="preserve"> a per</w:t>
      </w:r>
      <w:r w:rsidR="000F3065">
        <w:rPr>
          <w:rFonts w:asciiTheme="majorHAnsi" w:hAnsiTheme="majorHAnsi"/>
          <w:lang w:val="en-US"/>
        </w:rPr>
        <w:t>sistent objection c</w:t>
      </w:r>
      <w:r w:rsidRPr="00316B98">
        <w:rPr>
          <w:rFonts w:asciiTheme="majorHAnsi" w:hAnsiTheme="majorHAnsi"/>
          <w:lang w:val="en-US"/>
        </w:rPr>
        <w:t>ould be to initiate a practic</w:t>
      </w:r>
      <w:r w:rsidR="000F3065">
        <w:rPr>
          <w:rFonts w:asciiTheme="majorHAnsi" w:hAnsiTheme="majorHAnsi"/>
          <w:lang w:val="en-US"/>
        </w:rPr>
        <w:t>e that, if it became</w:t>
      </w:r>
      <w:r w:rsidRPr="00316B98">
        <w:rPr>
          <w:rFonts w:asciiTheme="majorHAnsi" w:hAnsiTheme="majorHAnsi"/>
          <w:lang w:val="en-US"/>
        </w:rPr>
        <w:t xml:space="preserve"> general and </w:t>
      </w:r>
      <w:r w:rsidR="000F3065">
        <w:rPr>
          <w:rFonts w:asciiTheme="majorHAnsi" w:hAnsiTheme="majorHAnsi"/>
          <w:lang w:val="en-US"/>
        </w:rPr>
        <w:t>was</w:t>
      </w:r>
      <w:r w:rsidR="00F153D2" w:rsidRPr="00316B98">
        <w:rPr>
          <w:rFonts w:asciiTheme="majorHAnsi" w:hAnsiTheme="majorHAnsi"/>
          <w:lang w:val="en-US"/>
        </w:rPr>
        <w:t xml:space="preserve"> adequately supported by </w:t>
      </w:r>
      <w:proofErr w:type="spellStart"/>
      <w:r w:rsidRPr="00316B98">
        <w:rPr>
          <w:rFonts w:asciiTheme="majorHAnsi" w:hAnsiTheme="majorHAnsi"/>
          <w:i/>
          <w:lang w:val="en-US"/>
        </w:rPr>
        <w:t>opinio</w:t>
      </w:r>
      <w:proofErr w:type="spellEnd"/>
      <w:r w:rsidRPr="00316B98">
        <w:rPr>
          <w:rFonts w:asciiTheme="majorHAnsi" w:hAnsiTheme="majorHAnsi"/>
          <w:i/>
          <w:lang w:val="en-US"/>
        </w:rPr>
        <w:t xml:space="preserve"> </w:t>
      </w:r>
      <w:proofErr w:type="spellStart"/>
      <w:r w:rsidRPr="00316B98">
        <w:rPr>
          <w:rFonts w:asciiTheme="majorHAnsi" w:hAnsiTheme="majorHAnsi"/>
          <w:i/>
          <w:lang w:val="en-US"/>
        </w:rPr>
        <w:t>iuris</w:t>
      </w:r>
      <w:proofErr w:type="spellEnd"/>
      <w:r w:rsidR="005A18FF" w:rsidRPr="00316B98">
        <w:rPr>
          <w:rFonts w:asciiTheme="majorHAnsi" w:hAnsiTheme="majorHAnsi"/>
          <w:lang w:val="en-US"/>
        </w:rPr>
        <w:t>, might produce</w:t>
      </w:r>
      <w:r w:rsidRPr="00316B98">
        <w:rPr>
          <w:rFonts w:asciiTheme="majorHAnsi" w:hAnsiTheme="majorHAnsi"/>
          <w:lang w:val="en-US"/>
        </w:rPr>
        <w:t xml:space="preserve"> a modification of the norm</w:t>
      </w:r>
      <w:r w:rsidR="00F153D2" w:rsidRPr="00316B98">
        <w:rPr>
          <w:rFonts w:asciiTheme="majorHAnsi" w:hAnsiTheme="majorHAnsi"/>
          <w:lang w:val="en-US"/>
        </w:rPr>
        <w:t xml:space="preserve"> or the formation of a new norm</w:t>
      </w:r>
      <w:r w:rsidRPr="00316B98">
        <w:rPr>
          <w:rFonts w:asciiTheme="majorHAnsi" w:hAnsiTheme="majorHAnsi"/>
          <w:lang w:val="en-US"/>
        </w:rPr>
        <w:t xml:space="preserve">. </w:t>
      </w:r>
      <w:r w:rsidR="004D726B" w:rsidRPr="00316B98">
        <w:rPr>
          <w:rFonts w:asciiTheme="majorHAnsi" w:hAnsiTheme="majorHAnsi"/>
          <w:lang w:val="en-US"/>
        </w:rPr>
        <w:t xml:space="preserve">Of course, pursuant to the basic mechanism of formation of customary norms, this development </w:t>
      </w:r>
      <w:r w:rsidR="00F153D2" w:rsidRPr="00316B98">
        <w:rPr>
          <w:rFonts w:asciiTheme="majorHAnsi" w:hAnsiTheme="majorHAnsi"/>
          <w:lang w:val="en-US"/>
        </w:rPr>
        <w:t xml:space="preserve">would </w:t>
      </w:r>
      <w:r w:rsidR="004D726B" w:rsidRPr="00316B98">
        <w:rPr>
          <w:rFonts w:asciiTheme="majorHAnsi" w:hAnsiTheme="majorHAnsi"/>
          <w:lang w:val="en-US"/>
        </w:rPr>
        <w:t>req</w:t>
      </w:r>
      <w:r w:rsidR="00F153D2" w:rsidRPr="00316B98">
        <w:rPr>
          <w:rFonts w:asciiTheme="majorHAnsi" w:hAnsiTheme="majorHAnsi"/>
          <w:lang w:val="en-US"/>
        </w:rPr>
        <w:t>uire</w:t>
      </w:r>
      <w:r w:rsidR="004D726B" w:rsidRPr="00316B98">
        <w:rPr>
          <w:rFonts w:asciiTheme="majorHAnsi" w:hAnsiTheme="majorHAnsi"/>
          <w:lang w:val="en-US"/>
        </w:rPr>
        <w:t xml:space="preserve"> that an appropriate </w:t>
      </w:r>
      <w:r w:rsidR="00F153D2" w:rsidRPr="00316B98">
        <w:rPr>
          <w:rFonts w:asciiTheme="majorHAnsi" w:hAnsiTheme="majorHAnsi"/>
          <w:lang w:val="en-US"/>
        </w:rPr>
        <w:t>“</w:t>
      </w:r>
      <w:r w:rsidR="004D726B" w:rsidRPr="00316B98">
        <w:rPr>
          <w:rFonts w:asciiTheme="majorHAnsi" w:hAnsiTheme="majorHAnsi"/>
          <w:lang w:val="en-US"/>
        </w:rPr>
        <w:t>critical mass</w:t>
      </w:r>
      <w:r w:rsidR="00F153D2" w:rsidRPr="00316B98">
        <w:rPr>
          <w:rFonts w:asciiTheme="majorHAnsi" w:hAnsiTheme="majorHAnsi"/>
          <w:lang w:val="en-US"/>
        </w:rPr>
        <w:t>”</w:t>
      </w:r>
      <w:r w:rsidR="004D726B" w:rsidRPr="00316B98">
        <w:rPr>
          <w:rFonts w:asciiTheme="majorHAnsi" w:hAnsiTheme="majorHAnsi"/>
          <w:lang w:val="en-US"/>
        </w:rPr>
        <w:t xml:space="preserve"> in </w:t>
      </w:r>
      <w:proofErr w:type="spellStart"/>
      <w:r w:rsidR="004D726B" w:rsidRPr="00316B98">
        <w:rPr>
          <w:rFonts w:asciiTheme="majorHAnsi" w:hAnsiTheme="majorHAnsi"/>
          <w:lang w:val="en-US"/>
        </w:rPr>
        <w:t>favour</w:t>
      </w:r>
      <w:proofErr w:type="spellEnd"/>
      <w:r w:rsidR="004D726B" w:rsidRPr="00316B98">
        <w:rPr>
          <w:rFonts w:asciiTheme="majorHAnsi" w:hAnsiTheme="majorHAnsi"/>
          <w:lang w:val="en-US"/>
        </w:rPr>
        <w:t xml:space="preserve"> of </w:t>
      </w:r>
      <w:r w:rsidR="002D6204">
        <w:rPr>
          <w:rFonts w:asciiTheme="majorHAnsi" w:hAnsiTheme="majorHAnsi"/>
          <w:lang w:val="en-US"/>
        </w:rPr>
        <w:t>the objector State’s position be</w:t>
      </w:r>
      <w:r w:rsidR="004D726B" w:rsidRPr="00316B98">
        <w:rPr>
          <w:rFonts w:asciiTheme="majorHAnsi" w:hAnsiTheme="majorHAnsi"/>
          <w:lang w:val="en-US"/>
        </w:rPr>
        <w:t xml:space="preserve"> achieved.</w:t>
      </w:r>
    </w:p>
    <w:p w:rsidR="00084B1F" w:rsidRPr="00242C33" w:rsidRDefault="00084B1F" w:rsidP="005107BC">
      <w:pPr>
        <w:jc w:val="both"/>
        <w:rPr>
          <w:rFonts w:asciiTheme="majorHAnsi" w:hAnsiTheme="majorHAnsi"/>
          <w:b/>
          <w:lang w:val="en-US"/>
        </w:rPr>
      </w:pPr>
      <w:r w:rsidRPr="00272347">
        <w:rPr>
          <w:rFonts w:asciiTheme="majorHAnsi" w:hAnsiTheme="majorHAnsi"/>
          <w:lang w:val="en-US"/>
        </w:rPr>
        <w:lastRenderedPageBreak/>
        <w:t xml:space="preserve">In any event, it is important to note that the inclusion, by the International Law Commission, of the persistent objector doctrine in the above-mentioned draft conclusions,  «is without prejudice to any issues of jus </w:t>
      </w:r>
      <w:proofErr w:type="spellStart"/>
      <w:r w:rsidRPr="00272347">
        <w:rPr>
          <w:rFonts w:asciiTheme="majorHAnsi" w:hAnsiTheme="majorHAnsi"/>
          <w:lang w:val="en-US"/>
        </w:rPr>
        <w:t>cogens</w:t>
      </w:r>
      <w:proofErr w:type="spellEnd"/>
      <w:r w:rsidRPr="00272347">
        <w:rPr>
          <w:rFonts w:asciiTheme="majorHAnsi" w:hAnsiTheme="majorHAnsi"/>
          <w:lang w:val="en-US"/>
        </w:rPr>
        <w:t>» (</w:t>
      </w:r>
      <w:r w:rsidR="00242C33" w:rsidRPr="00272347">
        <w:rPr>
          <w:rFonts w:asciiTheme="majorHAnsi" w:hAnsiTheme="majorHAnsi"/>
          <w:lang w:val="en-US"/>
        </w:rPr>
        <w:t xml:space="preserve">see the </w:t>
      </w:r>
      <w:r w:rsidRPr="00272347">
        <w:rPr>
          <w:rFonts w:asciiTheme="majorHAnsi" w:hAnsiTheme="majorHAnsi"/>
          <w:lang w:val="en-US"/>
        </w:rPr>
        <w:t>comment</w:t>
      </w:r>
      <w:r w:rsidR="00820720" w:rsidRPr="00272347">
        <w:rPr>
          <w:rFonts w:asciiTheme="majorHAnsi" w:hAnsiTheme="majorHAnsi"/>
          <w:lang w:val="en-US"/>
        </w:rPr>
        <w:t>ary to conclusion 15, para. 10</w:t>
      </w:r>
      <w:r w:rsidRPr="00272347">
        <w:rPr>
          <w:rFonts w:asciiTheme="majorHAnsi" w:hAnsiTheme="majorHAnsi"/>
          <w:lang w:val="en-US"/>
        </w:rPr>
        <w:t>)</w:t>
      </w:r>
      <w:r w:rsidR="00242C33" w:rsidRPr="00242C33">
        <w:rPr>
          <w:rFonts w:asciiTheme="majorHAnsi" w:hAnsiTheme="majorHAnsi"/>
          <w:b/>
          <w:lang w:val="en-US"/>
        </w:rPr>
        <w:t>.</w:t>
      </w:r>
    </w:p>
    <w:p w:rsidR="009B2270" w:rsidRPr="005107BC" w:rsidRDefault="009B2270" w:rsidP="005107BC">
      <w:pPr>
        <w:pStyle w:val="Paragrafoelenco"/>
        <w:numPr>
          <w:ilvl w:val="0"/>
          <w:numId w:val="3"/>
        </w:numPr>
        <w:jc w:val="both"/>
        <w:rPr>
          <w:rFonts w:asciiTheme="majorHAnsi" w:hAnsiTheme="majorHAnsi"/>
          <w:u w:val="single"/>
          <w:lang w:val="en-US"/>
        </w:rPr>
      </w:pPr>
      <w:r w:rsidRPr="005107BC">
        <w:rPr>
          <w:rFonts w:asciiTheme="majorHAnsi" w:hAnsiTheme="majorHAnsi"/>
          <w:u w:val="single"/>
          <w:lang w:val="en-US"/>
        </w:rPr>
        <w:t>Local customs</w:t>
      </w:r>
    </w:p>
    <w:p w:rsidR="005A18FF" w:rsidRPr="00272347" w:rsidRDefault="00084B1F" w:rsidP="005107BC">
      <w:pPr>
        <w:jc w:val="both"/>
        <w:rPr>
          <w:rFonts w:asciiTheme="majorHAnsi" w:hAnsiTheme="majorHAnsi"/>
          <w:lang w:val="en-US"/>
        </w:rPr>
      </w:pPr>
      <w:r w:rsidRPr="00272347">
        <w:rPr>
          <w:rFonts w:asciiTheme="majorHAnsi" w:hAnsiTheme="majorHAnsi"/>
          <w:lang w:val="en-US"/>
        </w:rPr>
        <w:t xml:space="preserve">Part of the doctrine is of the view that local customs (such as that between Portugal and India referred to in the textbook) could </w:t>
      </w:r>
      <w:r w:rsidR="009B2270" w:rsidRPr="00272347">
        <w:rPr>
          <w:rFonts w:asciiTheme="majorHAnsi" w:hAnsiTheme="majorHAnsi"/>
          <w:lang w:val="en-US"/>
        </w:rPr>
        <w:t>be considered as a tacit agreement</w:t>
      </w:r>
      <w:r w:rsidR="00B15E0E" w:rsidRPr="00272347">
        <w:rPr>
          <w:rFonts w:asciiTheme="majorHAnsi" w:hAnsiTheme="majorHAnsi"/>
          <w:lang w:val="en-US"/>
        </w:rPr>
        <w:t>,</w:t>
      </w:r>
      <w:r w:rsidR="009B2270" w:rsidRPr="00272347">
        <w:rPr>
          <w:rFonts w:asciiTheme="majorHAnsi" w:hAnsiTheme="majorHAnsi"/>
          <w:lang w:val="en-US"/>
        </w:rPr>
        <w:t xml:space="preserve"> rather than as a custom in the strict sense of the term.</w:t>
      </w:r>
      <w:r w:rsidRPr="00272347">
        <w:rPr>
          <w:rFonts w:asciiTheme="majorHAnsi" w:hAnsiTheme="majorHAnsi"/>
          <w:lang w:val="en-US"/>
        </w:rPr>
        <w:t xml:space="preserve"> However, the international jurisprudence prefers the “local/particular custom” concept. An alternative term, somehow reflecting both ideas, could be “local/particular customary arrangement”.</w:t>
      </w:r>
    </w:p>
    <w:p w:rsidR="0019415D" w:rsidRPr="00272347" w:rsidRDefault="00153EA7" w:rsidP="0019415D">
      <w:pPr>
        <w:pStyle w:val="Paragrafoelenco"/>
        <w:numPr>
          <w:ilvl w:val="0"/>
          <w:numId w:val="3"/>
        </w:numPr>
        <w:jc w:val="both"/>
        <w:rPr>
          <w:rFonts w:asciiTheme="majorHAnsi" w:hAnsiTheme="majorHAnsi"/>
          <w:u w:val="single"/>
          <w:lang w:val="en-US"/>
        </w:rPr>
      </w:pPr>
      <w:r w:rsidRPr="00272347">
        <w:rPr>
          <w:rFonts w:asciiTheme="majorHAnsi" w:hAnsiTheme="majorHAnsi"/>
          <w:u w:val="single"/>
          <w:lang w:val="en-US"/>
        </w:rPr>
        <w:t>Agreements between governments and</w:t>
      </w:r>
      <w:r w:rsidR="0019415D" w:rsidRPr="00272347">
        <w:rPr>
          <w:rFonts w:asciiTheme="majorHAnsi" w:hAnsiTheme="majorHAnsi"/>
          <w:u w:val="single"/>
          <w:lang w:val="en-US"/>
        </w:rPr>
        <w:t xml:space="preserve"> insurgents qualifying as “treaties”</w:t>
      </w:r>
    </w:p>
    <w:p w:rsidR="0019415D" w:rsidRPr="00272347" w:rsidRDefault="0019415D" w:rsidP="0019415D">
      <w:pPr>
        <w:pStyle w:val="Paragrafoelenco"/>
        <w:jc w:val="both"/>
        <w:rPr>
          <w:rFonts w:asciiTheme="majorHAnsi" w:hAnsiTheme="majorHAnsi"/>
          <w:lang w:val="en-US"/>
        </w:rPr>
      </w:pPr>
    </w:p>
    <w:p w:rsidR="0019415D" w:rsidRPr="00272347" w:rsidRDefault="0019415D" w:rsidP="0019415D">
      <w:pPr>
        <w:pStyle w:val="Paragrafoelenco"/>
        <w:jc w:val="both"/>
        <w:rPr>
          <w:rFonts w:asciiTheme="majorHAnsi" w:hAnsiTheme="majorHAnsi"/>
          <w:lang w:val="en-US"/>
        </w:rPr>
      </w:pPr>
      <w:r w:rsidRPr="00272347">
        <w:rPr>
          <w:rFonts w:asciiTheme="majorHAnsi" w:hAnsiTheme="majorHAnsi"/>
          <w:lang w:val="en-US"/>
        </w:rPr>
        <w:t xml:space="preserve">In short, </w:t>
      </w:r>
      <w:r w:rsidR="00153EA7" w:rsidRPr="00272347">
        <w:rPr>
          <w:rFonts w:asciiTheme="majorHAnsi" w:hAnsiTheme="majorHAnsi"/>
          <w:lang w:val="en-US"/>
        </w:rPr>
        <w:t xml:space="preserve">agreements concluded between </w:t>
      </w:r>
      <w:r w:rsidRPr="00272347">
        <w:rPr>
          <w:rFonts w:asciiTheme="majorHAnsi" w:hAnsiTheme="majorHAnsi"/>
          <w:lang w:val="en-US"/>
        </w:rPr>
        <w:t>government</w:t>
      </w:r>
      <w:r w:rsidR="00153EA7" w:rsidRPr="00272347">
        <w:rPr>
          <w:rFonts w:asciiTheme="majorHAnsi" w:hAnsiTheme="majorHAnsi"/>
          <w:lang w:val="en-US"/>
        </w:rPr>
        <w:t xml:space="preserve">s and </w:t>
      </w:r>
      <w:r w:rsidRPr="00272347">
        <w:rPr>
          <w:rFonts w:asciiTheme="majorHAnsi" w:hAnsiTheme="majorHAnsi"/>
          <w:lang w:val="en-US"/>
        </w:rPr>
        <w:t>insurgent movement</w:t>
      </w:r>
      <w:r w:rsidR="00153EA7" w:rsidRPr="00272347">
        <w:rPr>
          <w:rFonts w:asciiTheme="majorHAnsi" w:hAnsiTheme="majorHAnsi"/>
          <w:lang w:val="en-US"/>
        </w:rPr>
        <w:t>s</w:t>
      </w:r>
      <w:r w:rsidRPr="00272347">
        <w:rPr>
          <w:rFonts w:asciiTheme="majorHAnsi" w:hAnsiTheme="majorHAnsi"/>
          <w:lang w:val="en-US"/>
        </w:rPr>
        <w:t xml:space="preserve"> qualify as “treaties”, within the meaning of international law, in the following three cases:</w:t>
      </w:r>
    </w:p>
    <w:p w:rsidR="0019415D" w:rsidRPr="00272347" w:rsidRDefault="0019415D" w:rsidP="0019415D">
      <w:pPr>
        <w:pStyle w:val="Paragrafoelenco"/>
        <w:jc w:val="both"/>
        <w:rPr>
          <w:rFonts w:asciiTheme="majorHAnsi" w:hAnsiTheme="majorHAnsi"/>
          <w:lang w:val="en-US"/>
        </w:rPr>
      </w:pPr>
    </w:p>
    <w:p w:rsidR="0019415D" w:rsidRPr="00272347" w:rsidRDefault="0019415D" w:rsidP="0019415D">
      <w:pPr>
        <w:pStyle w:val="Paragrafoelenco"/>
        <w:numPr>
          <w:ilvl w:val="0"/>
          <w:numId w:val="8"/>
        </w:numPr>
        <w:jc w:val="both"/>
        <w:rPr>
          <w:rFonts w:asciiTheme="majorHAnsi" w:hAnsiTheme="majorHAnsi"/>
          <w:lang w:val="en-US"/>
        </w:rPr>
      </w:pPr>
      <w:r w:rsidRPr="00272347">
        <w:rPr>
          <w:rFonts w:asciiTheme="majorHAnsi" w:hAnsiTheme="majorHAnsi"/>
          <w:lang w:val="en-US"/>
        </w:rPr>
        <w:t>ceasefire agreements (</w:t>
      </w:r>
      <w:r w:rsidRPr="00272347">
        <w:rPr>
          <w:rFonts w:asciiTheme="majorHAnsi" w:hAnsiTheme="majorHAnsi"/>
          <w:i/>
          <w:lang w:val="en-US"/>
        </w:rPr>
        <w:t>unless they are meant to be regulated by domestic law and the domestic legal system in question is still in operation</w:t>
      </w:r>
      <w:r w:rsidRPr="00272347">
        <w:rPr>
          <w:rFonts w:asciiTheme="majorHAnsi" w:hAnsiTheme="majorHAnsi"/>
          <w:lang w:val="en-US"/>
        </w:rPr>
        <w:t>);</w:t>
      </w:r>
    </w:p>
    <w:p w:rsidR="0019415D" w:rsidRPr="00272347" w:rsidRDefault="0019415D" w:rsidP="0019415D">
      <w:pPr>
        <w:pStyle w:val="Paragrafoelenco"/>
        <w:numPr>
          <w:ilvl w:val="0"/>
          <w:numId w:val="8"/>
        </w:numPr>
        <w:jc w:val="both"/>
        <w:rPr>
          <w:rFonts w:asciiTheme="majorHAnsi" w:hAnsiTheme="majorHAnsi"/>
          <w:lang w:val="en-US"/>
        </w:rPr>
      </w:pPr>
      <w:r w:rsidRPr="00272347">
        <w:rPr>
          <w:rFonts w:asciiTheme="majorHAnsi" w:hAnsiTheme="majorHAnsi"/>
          <w:lang w:val="en-US"/>
        </w:rPr>
        <w:t>humanitarian agreements or agreements on the conduct of hostilities</w:t>
      </w:r>
      <w:r w:rsidRPr="00272347">
        <w:rPr>
          <w:lang w:val="en-US"/>
        </w:rPr>
        <w:t xml:space="preserve"> (</w:t>
      </w:r>
      <w:r w:rsidR="00153EA7" w:rsidRPr="00272347">
        <w:rPr>
          <w:rFonts w:asciiTheme="majorHAnsi" w:hAnsiTheme="majorHAnsi"/>
          <w:i/>
          <w:lang w:val="en-US"/>
        </w:rPr>
        <w:t>unless they are</w:t>
      </w:r>
      <w:r w:rsidRPr="00272347">
        <w:rPr>
          <w:rFonts w:asciiTheme="majorHAnsi" w:hAnsiTheme="majorHAnsi"/>
          <w:i/>
          <w:lang w:val="en-US"/>
        </w:rPr>
        <w:t xml:space="preserve"> meant to be regulated by domestic law and the domestic legal system in question is still in operation</w:t>
      </w:r>
      <w:r w:rsidRPr="00272347">
        <w:rPr>
          <w:rFonts w:asciiTheme="majorHAnsi" w:hAnsiTheme="majorHAnsi"/>
          <w:lang w:val="en-US"/>
        </w:rPr>
        <w:t>);</w:t>
      </w:r>
    </w:p>
    <w:p w:rsidR="0019415D" w:rsidRPr="00272347" w:rsidRDefault="00153EA7" w:rsidP="0019415D">
      <w:pPr>
        <w:pStyle w:val="Paragrafoelenco"/>
        <w:numPr>
          <w:ilvl w:val="0"/>
          <w:numId w:val="8"/>
        </w:numPr>
        <w:jc w:val="both"/>
        <w:rPr>
          <w:rFonts w:asciiTheme="majorHAnsi" w:hAnsiTheme="majorHAnsi"/>
          <w:lang w:val="en-US"/>
        </w:rPr>
      </w:pPr>
      <w:r w:rsidRPr="00272347">
        <w:rPr>
          <w:rFonts w:asciiTheme="majorHAnsi" w:hAnsiTheme="majorHAnsi"/>
          <w:lang w:val="en-US"/>
        </w:rPr>
        <w:t>agreements between governments and insurgent movements to which third States or international organizations are also parties (</w:t>
      </w:r>
      <w:r w:rsidRPr="00272347">
        <w:rPr>
          <w:rFonts w:asciiTheme="majorHAnsi" w:hAnsiTheme="majorHAnsi"/>
          <w:i/>
          <w:lang w:val="en-US"/>
        </w:rPr>
        <w:t>unless the agreement is regulated by national law, in which case only the part of the agreement relating to the third States’ or international organizations’ participation qualifies as a treaty</w:t>
      </w:r>
      <w:r w:rsidRPr="00272347">
        <w:rPr>
          <w:rFonts w:asciiTheme="majorHAnsi" w:hAnsiTheme="majorHAnsi"/>
          <w:lang w:val="en-US"/>
        </w:rPr>
        <w:t>).</w:t>
      </w:r>
    </w:p>
    <w:p w:rsidR="0019415D" w:rsidRPr="0019415D" w:rsidRDefault="0019415D" w:rsidP="0019415D">
      <w:pPr>
        <w:pStyle w:val="Paragrafoelenco"/>
        <w:jc w:val="both"/>
        <w:rPr>
          <w:rFonts w:asciiTheme="majorHAnsi" w:hAnsiTheme="majorHAnsi"/>
          <w:b/>
          <w:lang w:val="en-US"/>
        </w:rPr>
      </w:pPr>
    </w:p>
    <w:p w:rsidR="00D03461" w:rsidRPr="00A7290B" w:rsidRDefault="00053D5D" w:rsidP="00A7290B">
      <w:pPr>
        <w:pStyle w:val="Paragrafoelenco"/>
        <w:numPr>
          <w:ilvl w:val="0"/>
          <w:numId w:val="3"/>
        </w:numPr>
        <w:jc w:val="both"/>
        <w:rPr>
          <w:rFonts w:asciiTheme="majorHAnsi" w:hAnsiTheme="majorHAnsi"/>
          <w:u w:val="single"/>
          <w:lang w:val="en-US"/>
        </w:rPr>
      </w:pPr>
      <w:r>
        <w:rPr>
          <w:rFonts w:asciiTheme="majorHAnsi" w:hAnsiTheme="majorHAnsi"/>
          <w:u w:val="single"/>
          <w:lang w:val="en-US"/>
        </w:rPr>
        <w:t>“</w:t>
      </w:r>
      <w:r w:rsidR="00D03461" w:rsidRPr="00A7290B">
        <w:rPr>
          <w:rFonts w:asciiTheme="majorHAnsi" w:hAnsiTheme="majorHAnsi"/>
          <w:u w:val="single"/>
          <w:lang w:val="en-US"/>
        </w:rPr>
        <w:t>Codification light</w:t>
      </w:r>
      <w:r>
        <w:rPr>
          <w:rFonts w:asciiTheme="majorHAnsi" w:hAnsiTheme="majorHAnsi"/>
          <w:u w:val="single"/>
          <w:lang w:val="en-US"/>
        </w:rPr>
        <w:t>”</w:t>
      </w:r>
    </w:p>
    <w:p w:rsidR="000B31BB" w:rsidRDefault="00D03461" w:rsidP="00D03461">
      <w:pPr>
        <w:jc w:val="both"/>
        <w:rPr>
          <w:rFonts w:asciiTheme="majorHAnsi" w:hAnsiTheme="majorHAnsi"/>
          <w:lang w:val="en-US"/>
        </w:rPr>
      </w:pPr>
      <w:r w:rsidRPr="00D03461">
        <w:rPr>
          <w:rFonts w:asciiTheme="majorHAnsi" w:hAnsiTheme="majorHAnsi"/>
          <w:lang w:val="en-US"/>
        </w:rPr>
        <w:t xml:space="preserve">A recent but very important phenomenon is the tendency, including by the International Law Commission (see pp. 84-86 of the textbook), to codify international rules by adopting non-binding instruments rather than by means of classical codification treaties. Non-binding codification instruments, therefore, formally fall under the “soft law” category but they pursue the aim to codify/determine international law in the same way as a codification treaty. Even though such instruments of “light codification” are not as such binding, they may – and do the more and more – lead to reflecting customary law by offering States’ a “handy” and flexible reference-document: if States’ practice and </w:t>
      </w:r>
      <w:proofErr w:type="spellStart"/>
      <w:r w:rsidRPr="002B7190">
        <w:rPr>
          <w:rFonts w:asciiTheme="majorHAnsi" w:hAnsiTheme="majorHAnsi"/>
          <w:i/>
          <w:lang w:val="en-US"/>
        </w:rPr>
        <w:t>opinio</w:t>
      </w:r>
      <w:proofErr w:type="spellEnd"/>
      <w:r w:rsidRPr="002B7190">
        <w:rPr>
          <w:rFonts w:asciiTheme="majorHAnsi" w:hAnsiTheme="majorHAnsi"/>
          <w:i/>
          <w:lang w:val="en-US"/>
        </w:rPr>
        <w:t xml:space="preserve"> </w:t>
      </w:r>
      <w:proofErr w:type="spellStart"/>
      <w:r w:rsidRPr="002B7190">
        <w:rPr>
          <w:rFonts w:asciiTheme="majorHAnsi" w:hAnsiTheme="majorHAnsi"/>
          <w:i/>
          <w:lang w:val="en-US"/>
        </w:rPr>
        <w:t>iuris</w:t>
      </w:r>
      <w:proofErr w:type="spellEnd"/>
      <w:r w:rsidRPr="00D03461">
        <w:rPr>
          <w:rFonts w:asciiTheme="majorHAnsi" w:hAnsiTheme="majorHAnsi"/>
          <w:lang w:val="en-US"/>
        </w:rPr>
        <w:t xml:space="preserve"> develop in the same direction, following the typical mechanism leading to the formation of customary rules, even a formally non-binding codification instrument may become very «influential as a reflection of customary international law» (see Santiago </w:t>
      </w:r>
      <w:proofErr w:type="spellStart"/>
      <w:r w:rsidRPr="00D03461">
        <w:rPr>
          <w:rFonts w:asciiTheme="majorHAnsi" w:hAnsiTheme="majorHAnsi"/>
          <w:lang w:val="en-US"/>
        </w:rPr>
        <w:t>Villalpando</w:t>
      </w:r>
      <w:proofErr w:type="spellEnd"/>
      <w:r w:rsidRPr="00D03461">
        <w:rPr>
          <w:rFonts w:asciiTheme="majorHAnsi" w:hAnsiTheme="majorHAnsi"/>
          <w:lang w:val="en-US"/>
        </w:rPr>
        <w:t xml:space="preserve">, </w:t>
      </w:r>
      <w:r w:rsidRPr="003843FC">
        <w:rPr>
          <w:rFonts w:asciiTheme="majorHAnsi" w:hAnsiTheme="majorHAnsi"/>
          <w:i/>
          <w:lang w:val="en-US"/>
        </w:rPr>
        <w:t>Codification Light: A New Trend in the Codification of International Law at the United Nations</w:t>
      </w:r>
      <w:r w:rsidRPr="00D03461">
        <w:rPr>
          <w:rFonts w:asciiTheme="majorHAnsi" w:hAnsiTheme="majorHAnsi"/>
          <w:lang w:val="en-US"/>
        </w:rPr>
        <w:t xml:space="preserve">, in </w:t>
      </w:r>
      <w:proofErr w:type="spellStart"/>
      <w:r w:rsidRPr="003843FC">
        <w:rPr>
          <w:rFonts w:asciiTheme="majorHAnsi" w:hAnsiTheme="majorHAnsi"/>
          <w:i/>
          <w:lang w:val="en-US"/>
        </w:rPr>
        <w:t>Anuário</w:t>
      </w:r>
      <w:proofErr w:type="spellEnd"/>
      <w:r w:rsidRPr="003843FC">
        <w:rPr>
          <w:rFonts w:asciiTheme="majorHAnsi" w:hAnsiTheme="majorHAnsi"/>
          <w:i/>
          <w:lang w:val="en-US"/>
        </w:rPr>
        <w:t xml:space="preserve"> </w:t>
      </w:r>
      <w:proofErr w:type="spellStart"/>
      <w:r w:rsidRPr="003843FC">
        <w:rPr>
          <w:rFonts w:asciiTheme="majorHAnsi" w:hAnsiTheme="majorHAnsi"/>
          <w:i/>
          <w:lang w:val="en-US"/>
        </w:rPr>
        <w:t>Brasileiro</w:t>
      </w:r>
      <w:proofErr w:type="spellEnd"/>
      <w:r w:rsidRPr="003843FC">
        <w:rPr>
          <w:rFonts w:asciiTheme="majorHAnsi" w:hAnsiTheme="majorHAnsi"/>
          <w:i/>
          <w:lang w:val="en-US"/>
        </w:rPr>
        <w:t xml:space="preserve"> de </w:t>
      </w:r>
      <w:proofErr w:type="spellStart"/>
      <w:r w:rsidRPr="003843FC">
        <w:rPr>
          <w:rFonts w:asciiTheme="majorHAnsi" w:hAnsiTheme="majorHAnsi"/>
          <w:i/>
          <w:lang w:val="en-US"/>
        </w:rPr>
        <w:t>Direito</w:t>
      </w:r>
      <w:proofErr w:type="spellEnd"/>
      <w:r w:rsidRPr="003843FC">
        <w:rPr>
          <w:rFonts w:asciiTheme="majorHAnsi" w:hAnsiTheme="majorHAnsi"/>
          <w:i/>
          <w:lang w:val="en-US"/>
        </w:rPr>
        <w:t xml:space="preserve"> </w:t>
      </w:r>
      <w:proofErr w:type="spellStart"/>
      <w:r w:rsidRPr="003843FC">
        <w:rPr>
          <w:rFonts w:asciiTheme="majorHAnsi" w:hAnsiTheme="majorHAnsi"/>
          <w:i/>
          <w:lang w:val="en-US"/>
        </w:rPr>
        <w:t>Internacional</w:t>
      </w:r>
      <w:proofErr w:type="spellEnd"/>
      <w:r w:rsidRPr="00D03461">
        <w:rPr>
          <w:rFonts w:asciiTheme="majorHAnsi" w:hAnsiTheme="majorHAnsi"/>
          <w:lang w:val="en-US"/>
        </w:rPr>
        <w:t>, 2013, pp. 117 ff., 149).</w:t>
      </w:r>
    </w:p>
    <w:p w:rsidR="00A42C99" w:rsidRPr="00280394" w:rsidRDefault="00A42C99" w:rsidP="00A7290B">
      <w:pPr>
        <w:pStyle w:val="Paragrafoelenco"/>
        <w:numPr>
          <w:ilvl w:val="0"/>
          <w:numId w:val="3"/>
        </w:numPr>
        <w:jc w:val="both"/>
        <w:rPr>
          <w:rFonts w:asciiTheme="majorHAnsi" w:hAnsiTheme="majorHAnsi"/>
          <w:u w:val="single"/>
          <w:lang w:val="en-US"/>
        </w:rPr>
      </w:pPr>
      <w:r w:rsidRPr="00280394">
        <w:rPr>
          <w:rFonts w:asciiTheme="majorHAnsi" w:hAnsiTheme="majorHAnsi"/>
          <w:u w:val="single"/>
          <w:lang w:val="en-US"/>
        </w:rPr>
        <w:t>Definition of “Multinational/transnational corporations”</w:t>
      </w:r>
    </w:p>
    <w:p w:rsidR="00A42C99" w:rsidRPr="00280394" w:rsidRDefault="00A42C99" w:rsidP="00A42C99">
      <w:pPr>
        <w:jc w:val="both"/>
        <w:rPr>
          <w:rFonts w:asciiTheme="majorHAnsi" w:hAnsiTheme="majorHAnsi"/>
          <w:lang w:val="en-US"/>
        </w:rPr>
      </w:pPr>
      <w:r w:rsidRPr="00280394">
        <w:rPr>
          <w:rFonts w:asciiTheme="majorHAnsi" w:hAnsiTheme="majorHAnsi"/>
          <w:lang w:val="en-US"/>
        </w:rPr>
        <w:t xml:space="preserve">According to the “Norms on the Responsibilities of Transnational Corporations and Other Business Enterprises with Regard to Human Rights”, approved on August 13, 2003, by the United Nations Sub-Commission on the Promotion and Protection of Human Rights (Resolution 2003/16), «(t)he term “transnational corporation” refers to an economic entity operating in more than one country or a </w:t>
      </w:r>
      <w:r w:rsidRPr="00280394">
        <w:rPr>
          <w:rFonts w:asciiTheme="majorHAnsi" w:hAnsiTheme="majorHAnsi"/>
          <w:lang w:val="en-US"/>
        </w:rPr>
        <w:lastRenderedPageBreak/>
        <w:t>cluster of economic entities operating in two or more countries - whatever their legal form, whether in their home country or country of activity, and whether taken individually or collectively» (para. 20).</w:t>
      </w:r>
    </w:p>
    <w:p w:rsidR="00CD370B" w:rsidRPr="00A7290B" w:rsidRDefault="00B91787" w:rsidP="00A7290B">
      <w:pPr>
        <w:pStyle w:val="Paragrafoelenco"/>
        <w:numPr>
          <w:ilvl w:val="0"/>
          <w:numId w:val="3"/>
        </w:numPr>
        <w:jc w:val="both"/>
        <w:rPr>
          <w:rFonts w:asciiTheme="majorHAnsi" w:hAnsiTheme="majorHAnsi"/>
          <w:u w:val="single"/>
          <w:lang w:val="en-US"/>
        </w:rPr>
      </w:pPr>
      <w:r w:rsidRPr="00A7290B">
        <w:rPr>
          <w:rFonts w:asciiTheme="majorHAnsi" w:hAnsiTheme="majorHAnsi"/>
          <w:u w:val="single"/>
          <w:lang w:val="en-US"/>
        </w:rPr>
        <w:t>Act of State</w:t>
      </w:r>
      <w:r w:rsidR="006D6FA0" w:rsidRPr="00A7290B">
        <w:rPr>
          <w:rFonts w:asciiTheme="majorHAnsi" w:hAnsiTheme="majorHAnsi"/>
          <w:u w:val="single"/>
          <w:lang w:val="en-US"/>
        </w:rPr>
        <w:t>/non-</w:t>
      </w:r>
      <w:r w:rsidR="002C252D" w:rsidRPr="00A7290B">
        <w:rPr>
          <w:rFonts w:asciiTheme="majorHAnsi" w:hAnsiTheme="majorHAnsi"/>
          <w:u w:val="single"/>
          <w:lang w:val="en-US"/>
        </w:rPr>
        <w:t>justiciability</w:t>
      </w:r>
      <w:r w:rsidR="00A9443B">
        <w:rPr>
          <w:rFonts w:asciiTheme="majorHAnsi" w:hAnsiTheme="majorHAnsi"/>
          <w:u w:val="single"/>
          <w:lang w:val="en-US"/>
        </w:rPr>
        <w:t xml:space="preserve"> (in Chapter 4</w:t>
      </w:r>
      <w:r w:rsidR="00CD370B" w:rsidRPr="00A7290B">
        <w:rPr>
          <w:rFonts w:asciiTheme="majorHAnsi" w:hAnsiTheme="majorHAnsi"/>
          <w:u w:val="single"/>
          <w:lang w:val="en-US"/>
        </w:rPr>
        <w:t>)</w:t>
      </w:r>
    </w:p>
    <w:p w:rsidR="00A42C99" w:rsidRDefault="00CD370B" w:rsidP="005107BC">
      <w:pPr>
        <w:jc w:val="both"/>
        <w:rPr>
          <w:rFonts w:asciiTheme="majorHAnsi" w:hAnsiTheme="majorHAnsi"/>
          <w:lang w:val="en-US"/>
        </w:rPr>
      </w:pPr>
      <w:r>
        <w:rPr>
          <w:rFonts w:asciiTheme="majorHAnsi" w:hAnsiTheme="majorHAnsi"/>
          <w:lang w:val="en-US"/>
        </w:rPr>
        <w:t xml:space="preserve">An additional example of the application of the doctrine of the act of state is represented by the judgment of the </w:t>
      </w:r>
      <w:r w:rsidR="00D00DDC">
        <w:rPr>
          <w:rFonts w:asciiTheme="majorHAnsi" w:hAnsiTheme="majorHAnsi"/>
          <w:lang w:val="en-US"/>
        </w:rPr>
        <w:t>Italian Court of Cassation of 8 February 2002 No. 8157</w:t>
      </w:r>
      <w:r>
        <w:rPr>
          <w:rFonts w:asciiTheme="majorHAnsi" w:hAnsiTheme="majorHAnsi"/>
          <w:lang w:val="en-US"/>
        </w:rPr>
        <w:t>, c</w:t>
      </w:r>
      <w:r w:rsidR="00D00DDC">
        <w:rPr>
          <w:rFonts w:asciiTheme="majorHAnsi" w:hAnsiTheme="majorHAnsi"/>
          <w:lang w:val="en-US"/>
        </w:rPr>
        <w:t>oncerning Italy’s involvement in 1999 NATO’s bombing campaign on Serbia</w:t>
      </w:r>
      <w:r>
        <w:rPr>
          <w:rFonts w:asciiTheme="majorHAnsi" w:hAnsiTheme="majorHAnsi"/>
          <w:lang w:val="en-US"/>
        </w:rPr>
        <w:t>, in respect of which the European Court of Human Rights ruled out a breach of the European Convention of Human Rights (</w:t>
      </w:r>
      <w:proofErr w:type="spellStart"/>
      <w:r w:rsidR="00B91787" w:rsidRPr="00DF0AC1">
        <w:rPr>
          <w:rFonts w:asciiTheme="majorHAnsi" w:hAnsiTheme="majorHAnsi"/>
          <w:i/>
          <w:lang w:val="en-US"/>
        </w:rPr>
        <w:t>Marković</w:t>
      </w:r>
      <w:proofErr w:type="spellEnd"/>
      <w:r w:rsidRPr="00DF0AC1">
        <w:rPr>
          <w:rFonts w:asciiTheme="majorHAnsi" w:hAnsiTheme="majorHAnsi"/>
          <w:i/>
          <w:lang w:val="en-US"/>
        </w:rPr>
        <w:t xml:space="preserve"> and Others vs. Italy</w:t>
      </w:r>
      <w:r>
        <w:rPr>
          <w:rFonts w:asciiTheme="majorHAnsi" w:hAnsiTheme="majorHAnsi"/>
          <w:lang w:val="en-US"/>
        </w:rPr>
        <w:t>, judgment of</w:t>
      </w:r>
      <w:r w:rsidR="00DF0AC1">
        <w:rPr>
          <w:rFonts w:asciiTheme="majorHAnsi" w:hAnsiTheme="majorHAnsi"/>
          <w:lang w:val="en-US"/>
        </w:rPr>
        <w:t xml:space="preserve"> 14 December 2006</w:t>
      </w:r>
      <w:r>
        <w:rPr>
          <w:rFonts w:asciiTheme="majorHAnsi" w:hAnsiTheme="majorHAnsi"/>
          <w:lang w:val="en-US"/>
        </w:rPr>
        <w:t>).</w:t>
      </w:r>
    </w:p>
    <w:p w:rsidR="00B91787" w:rsidRPr="005107BC" w:rsidRDefault="00FF1E25" w:rsidP="00A7290B">
      <w:pPr>
        <w:pStyle w:val="Paragrafoelenco"/>
        <w:numPr>
          <w:ilvl w:val="0"/>
          <w:numId w:val="3"/>
        </w:numPr>
        <w:jc w:val="both"/>
        <w:rPr>
          <w:rFonts w:asciiTheme="majorHAnsi" w:hAnsiTheme="majorHAnsi"/>
          <w:u w:val="single"/>
          <w:lang w:val="en-US"/>
        </w:rPr>
      </w:pPr>
      <w:r w:rsidRPr="005107BC">
        <w:rPr>
          <w:rFonts w:asciiTheme="majorHAnsi" w:hAnsiTheme="majorHAnsi"/>
          <w:u w:val="single"/>
          <w:lang w:val="en-US"/>
        </w:rPr>
        <w:t>State jurisdictional immunities</w:t>
      </w:r>
    </w:p>
    <w:p w:rsidR="009E7376" w:rsidRDefault="007147A5" w:rsidP="005107BC">
      <w:pPr>
        <w:jc w:val="both"/>
        <w:rPr>
          <w:rFonts w:asciiTheme="majorHAnsi" w:hAnsiTheme="majorHAnsi"/>
          <w:lang w:val="en-US"/>
        </w:rPr>
      </w:pPr>
      <w:r>
        <w:rPr>
          <w:rFonts w:asciiTheme="majorHAnsi" w:hAnsiTheme="majorHAnsi"/>
          <w:lang w:val="en-US"/>
        </w:rPr>
        <w:t xml:space="preserve">6.a) By </w:t>
      </w:r>
      <w:r w:rsidR="00FF1E25">
        <w:rPr>
          <w:rFonts w:asciiTheme="majorHAnsi" w:hAnsiTheme="majorHAnsi"/>
          <w:lang w:val="en-US"/>
        </w:rPr>
        <w:t>judgment</w:t>
      </w:r>
      <w:r w:rsidR="00907DD7">
        <w:rPr>
          <w:rFonts w:asciiTheme="majorHAnsi" w:hAnsiTheme="majorHAnsi"/>
          <w:lang w:val="en-US"/>
        </w:rPr>
        <w:t xml:space="preserve"> </w:t>
      </w:r>
      <w:r>
        <w:rPr>
          <w:rFonts w:asciiTheme="majorHAnsi" w:hAnsiTheme="majorHAnsi"/>
          <w:lang w:val="en-US"/>
        </w:rPr>
        <w:t>No. 238 of 2014</w:t>
      </w:r>
      <w:r w:rsidR="00DF6C74">
        <w:rPr>
          <w:rFonts w:asciiTheme="majorHAnsi" w:hAnsiTheme="majorHAnsi"/>
          <w:lang w:val="en-US"/>
        </w:rPr>
        <w:t>,</w:t>
      </w:r>
      <w:r>
        <w:rPr>
          <w:rFonts w:asciiTheme="majorHAnsi" w:hAnsiTheme="majorHAnsi"/>
          <w:lang w:val="en-US"/>
        </w:rPr>
        <w:t xml:space="preserve"> t</w:t>
      </w:r>
      <w:r w:rsidR="000D799E">
        <w:rPr>
          <w:rFonts w:asciiTheme="majorHAnsi" w:hAnsiTheme="majorHAnsi"/>
          <w:lang w:val="en-US"/>
        </w:rPr>
        <w:t>he Italian Constitutional Court</w:t>
      </w:r>
      <w:r w:rsidR="002B7190">
        <w:rPr>
          <w:rFonts w:asciiTheme="majorHAnsi" w:hAnsiTheme="majorHAnsi"/>
          <w:lang w:val="en-US"/>
        </w:rPr>
        <w:t xml:space="preserve"> </w:t>
      </w:r>
      <w:r w:rsidR="000D799E">
        <w:rPr>
          <w:rFonts w:asciiTheme="majorHAnsi" w:hAnsiTheme="majorHAnsi"/>
          <w:lang w:val="en-US"/>
        </w:rPr>
        <w:t xml:space="preserve">held </w:t>
      </w:r>
      <w:r w:rsidR="002B7190">
        <w:rPr>
          <w:rFonts w:asciiTheme="majorHAnsi" w:hAnsiTheme="majorHAnsi"/>
          <w:lang w:val="en-US"/>
        </w:rPr>
        <w:t>that Italy’s</w:t>
      </w:r>
      <w:r w:rsidR="00A52B99">
        <w:rPr>
          <w:rFonts w:asciiTheme="majorHAnsi" w:hAnsiTheme="majorHAnsi"/>
          <w:lang w:val="en-US"/>
        </w:rPr>
        <w:t xml:space="preserve"> </w:t>
      </w:r>
      <w:r w:rsidR="000D799E">
        <w:rPr>
          <w:rFonts w:asciiTheme="majorHAnsi" w:hAnsiTheme="majorHAnsi"/>
          <w:lang w:val="en-US"/>
        </w:rPr>
        <w:t xml:space="preserve">implementation of the </w:t>
      </w:r>
      <w:r w:rsidR="00A52B99">
        <w:rPr>
          <w:rFonts w:asciiTheme="majorHAnsi" w:hAnsiTheme="majorHAnsi"/>
          <w:lang w:val="en-US"/>
        </w:rPr>
        <w:t xml:space="preserve">International Court of Justice judgment in the </w:t>
      </w:r>
      <w:r w:rsidR="00A52B99" w:rsidRPr="00E93F02">
        <w:rPr>
          <w:rFonts w:asciiTheme="majorHAnsi" w:hAnsiTheme="majorHAnsi"/>
          <w:i/>
          <w:lang w:val="en-US"/>
        </w:rPr>
        <w:t>Germany v. Italy</w:t>
      </w:r>
      <w:r w:rsidR="00A52B99">
        <w:rPr>
          <w:rFonts w:asciiTheme="majorHAnsi" w:hAnsiTheme="majorHAnsi"/>
          <w:lang w:val="en-US"/>
        </w:rPr>
        <w:t xml:space="preserve"> case</w:t>
      </w:r>
      <w:r w:rsidR="003A6A87">
        <w:rPr>
          <w:rFonts w:asciiTheme="majorHAnsi" w:hAnsiTheme="majorHAnsi"/>
          <w:lang w:val="en-US"/>
        </w:rPr>
        <w:t xml:space="preserve"> (p.</w:t>
      </w:r>
      <w:r w:rsidR="00814AED">
        <w:rPr>
          <w:rFonts w:asciiTheme="majorHAnsi" w:hAnsiTheme="majorHAnsi"/>
          <w:lang w:val="en-US"/>
        </w:rPr>
        <w:t xml:space="preserve"> 537</w:t>
      </w:r>
      <w:r w:rsidR="009E7376">
        <w:rPr>
          <w:rFonts w:asciiTheme="majorHAnsi" w:hAnsiTheme="majorHAnsi"/>
          <w:lang w:val="en-US"/>
        </w:rPr>
        <w:t xml:space="preserve"> of the textbook)</w:t>
      </w:r>
      <w:r w:rsidR="000D799E">
        <w:rPr>
          <w:rFonts w:asciiTheme="majorHAnsi" w:hAnsiTheme="majorHAnsi"/>
          <w:lang w:val="en-US"/>
        </w:rPr>
        <w:t xml:space="preserve"> would violate</w:t>
      </w:r>
      <w:r w:rsidR="000D799E" w:rsidRPr="000D799E">
        <w:rPr>
          <w:lang w:val="en-US"/>
        </w:rPr>
        <w:t xml:space="preserve"> </w:t>
      </w:r>
      <w:r w:rsidR="000D799E" w:rsidRPr="000D799E">
        <w:rPr>
          <w:rFonts w:asciiTheme="majorHAnsi" w:hAnsiTheme="majorHAnsi"/>
          <w:lang w:val="en-US"/>
        </w:rPr>
        <w:t>a number of fundamental principles enshrined in the Italian Constitution</w:t>
      </w:r>
      <w:r w:rsidR="000D799E">
        <w:rPr>
          <w:rFonts w:asciiTheme="majorHAnsi" w:hAnsiTheme="majorHAnsi"/>
          <w:lang w:val="en-US"/>
        </w:rPr>
        <w:t>, in that</w:t>
      </w:r>
      <w:r w:rsidR="00227A32">
        <w:rPr>
          <w:rFonts w:asciiTheme="majorHAnsi" w:hAnsiTheme="majorHAnsi"/>
          <w:lang w:val="en-US"/>
        </w:rPr>
        <w:t xml:space="preserve"> the</w:t>
      </w:r>
      <w:r w:rsidR="009E7376">
        <w:rPr>
          <w:rFonts w:asciiTheme="majorHAnsi" w:hAnsiTheme="majorHAnsi"/>
          <w:lang w:val="en-US"/>
        </w:rPr>
        <w:t xml:space="preserve"> </w:t>
      </w:r>
      <w:r w:rsidR="00A52B99">
        <w:rPr>
          <w:rFonts w:asciiTheme="majorHAnsi" w:hAnsiTheme="majorHAnsi"/>
          <w:lang w:val="en-US"/>
        </w:rPr>
        <w:t xml:space="preserve">granting </w:t>
      </w:r>
      <w:r w:rsidR="00227A32">
        <w:rPr>
          <w:rFonts w:asciiTheme="majorHAnsi" w:hAnsiTheme="majorHAnsi"/>
          <w:lang w:val="en-US"/>
        </w:rPr>
        <w:t xml:space="preserve">of </w:t>
      </w:r>
      <w:r w:rsidR="00A52B99">
        <w:rPr>
          <w:rFonts w:asciiTheme="majorHAnsi" w:hAnsiTheme="majorHAnsi"/>
          <w:lang w:val="en-US"/>
        </w:rPr>
        <w:t>immunity to the German State with regard to acts amountin</w:t>
      </w:r>
      <w:r w:rsidR="009E7376">
        <w:rPr>
          <w:rFonts w:asciiTheme="majorHAnsi" w:hAnsiTheme="majorHAnsi"/>
          <w:lang w:val="en-US"/>
        </w:rPr>
        <w:t>g to war crimes and crimes against humanity, in the absence of any alternative remedy, would infringe particularly t</w:t>
      </w:r>
      <w:r w:rsidR="00227A32">
        <w:rPr>
          <w:rFonts w:asciiTheme="majorHAnsi" w:hAnsiTheme="majorHAnsi"/>
          <w:lang w:val="en-US"/>
        </w:rPr>
        <w:t>he right of access to a court for</w:t>
      </w:r>
      <w:r w:rsidR="009E7376">
        <w:rPr>
          <w:rFonts w:asciiTheme="majorHAnsi" w:hAnsiTheme="majorHAnsi"/>
          <w:lang w:val="en-US"/>
        </w:rPr>
        <w:t xml:space="preserve"> the persons affected by the acts in question.</w:t>
      </w:r>
      <w:r w:rsidR="002B7190">
        <w:rPr>
          <w:rFonts w:asciiTheme="majorHAnsi" w:hAnsiTheme="majorHAnsi"/>
          <w:lang w:val="en-US"/>
        </w:rPr>
        <w:t xml:space="preserve"> One of the key features of the Italian Constitutional Court’s reasoning was that military acts amounting to war crimes and crimes against humanity could not be qualified as legitimate sovereign activities.</w:t>
      </w:r>
    </w:p>
    <w:p w:rsidR="00BD711F" w:rsidRPr="002D1D35" w:rsidRDefault="007147A5" w:rsidP="005107BC">
      <w:pPr>
        <w:jc w:val="both"/>
        <w:rPr>
          <w:rFonts w:asciiTheme="majorHAnsi" w:hAnsiTheme="majorHAnsi"/>
          <w:lang w:val="en-US"/>
        </w:rPr>
      </w:pPr>
      <w:r>
        <w:rPr>
          <w:rFonts w:asciiTheme="majorHAnsi" w:hAnsiTheme="majorHAnsi"/>
          <w:lang w:val="en-US"/>
        </w:rPr>
        <w:t xml:space="preserve">6.b) </w:t>
      </w:r>
      <w:r w:rsidR="004E2C9A">
        <w:rPr>
          <w:rFonts w:asciiTheme="majorHAnsi" w:hAnsiTheme="majorHAnsi"/>
          <w:lang w:val="en-US"/>
        </w:rPr>
        <w:t>In s</w:t>
      </w:r>
      <w:r w:rsidR="00814AED">
        <w:rPr>
          <w:rFonts w:asciiTheme="majorHAnsi" w:hAnsiTheme="majorHAnsi"/>
          <w:lang w:val="en-US"/>
        </w:rPr>
        <w:t>imilar circumstances as those in</w:t>
      </w:r>
      <w:r w:rsidR="004E2C9A">
        <w:rPr>
          <w:rFonts w:asciiTheme="majorHAnsi" w:hAnsiTheme="majorHAnsi"/>
          <w:lang w:val="en-US"/>
        </w:rPr>
        <w:t xml:space="preserve"> the </w:t>
      </w:r>
      <w:r w:rsidR="004E2C9A" w:rsidRPr="004E2C9A">
        <w:rPr>
          <w:rFonts w:asciiTheme="majorHAnsi" w:hAnsiTheme="majorHAnsi"/>
          <w:i/>
          <w:lang w:val="en-US"/>
        </w:rPr>
        <w:t>NML Capital v. Republic of Argentina</w:t>
      </w:r>
      <w:r w:rsidR="003A6A87">
        <w:rPr>
          <w:rFonts w:asciiTheme="majorHAnsi" w:hAnsiTheme="majorHAnsi"/>
          <w:lang w:val="en-US"/>
        </w:rPr>
        <w:t xml:space="preserve"> case (p.</w:t>
      </w:r>
      <w:r w:rsidR="00814AED">
        <w:rPr>
          <w:rFonts w:asciiTheme="majorHAnsi" w:hAnsiTheme="majorHAnsi"/>
          <w:lang w:val="en-US"/>
        </w:rPr>
        <w:t xml:space="preserve"> 542</w:t>
      </w:r>
      <w:r w:rsidR="004E2C9A">
        <w:rPr>
          <w:rFonts w:asciiTheme="majorHAnsi" w:hAnsiTheme="majorHAnsi"/>
          <w:lang w:val="en-US"/>
        </w:rPr>
        <w:t xml:space="preserve"> of the textbook), the US Supreme Court took a different approach from the UK Supreme Court and on 16 June 2014 the former court allowed bondholders, including NML Capital, to issue subpoenas to banks with a view to tracing Argentina’s assets abroad. This confirms that State practice varies in respect of the </w:t>
      </w:r>
      <w:r w:rsidR="00E332E9">
        <w:rPr>
          <w:rFonts w:asciiTheme="majorHAnsi" w:hAnsiTheme="majorHAnsi"/>
          <w:lang w:val="en-US"/>
        </w:rPr>
        <w:t xml:space="preserve">crucial </w:t>
      </w:r>
      <w:r w:rsidR="004E2C9A">
        <w:rPr>
          <w:rFonts w:asciiTheme="majorHAnsi" w:hAnsiTheme="majorHAnsi"/>
          <w:lang w:val="en-US"/>
        </w:rPr>
        <w:t xml:space="preserve">distinction between sovereign and non-sovereign/commercial State </w:t>
      </w:r>
      <w:r w:rsidR="00C36DEB">
        <w:rPr>
          <w:rFonts w:asciiTheme="majorHAnsi" w:hAnsiTheme="majorHAnsi"/>
          <w:lang w:val="en-US"/>
        </w:rPr>
        <w:t>acts for the purpose of deciding whether or not</w:t>
      </w:r>
      <w:r w:rsidR="004E2C9A">
        <w:rPr>
          <w:rFonts w:asciiTheme="majorHAnsi" w:hAnsiTheme="majorHAnsi"/>
          <w:lang w:val="en-US"/>
        </w:rPr>
        <w:t xml:space="preserve"> State jurisdictional immunity</w:t>
      </w:r>
      <w:r w:rsidR="00C36DEB">
        <w:rPr>
          <w:rFonts w:asciiTheme="majorHAnsi" w:hAnsiTheme="majorHAnsi"/>
          <w:lang w:val="en-US"/>
        </w:rPr>
        <w:t xml:space="preserve"> applies</w:t>
      </w:r>
      <w:r w:rsidR="004E2C9A">
        <w:rPr>
          <w:rFonts w:asciiTheme="majorHAnsi" w:hAnsiTheme="majorHAnsi"/>
          <w:lang w:val="en-US"/>
        </w:rPr>
        <w:t>.</w:t>
      </w:r>
    </w:p>
    <w:p w:rsidR="00E04FF4" w:rsidRPr="005107BC" w:rsidRDefault="008719F4" w:rsidP="00A7290B">
      <w:pPr>
        <w:pStyle w:val="Paragrafoelenco"/>
        <w:numPr>
          <w:ilvl w:val="0"/>
          <w:numId w:val="3"/>
        </w:numPr>
        <w:jc w:val="both"/>
        <w:rPr>
          <w:rFonts w:asciiTheme="majorHAnsi" w:hAnsiTheme="majorHAnsi"/>
          <w:u w:val="single"/>
          <w:lang w:val="en-US"/>
        </w:rPr>
      </w:pPr>
      <w:r w:rsidRPr="005107BC">
        <w:rPr>
          <w:rFonts w:asciiTheme="majorHAnsi" w:hAnsiTheme="majorHAnsi"/>
          <w:u w:val="single"/>
          <w:lang w:val="en-US"/>
        </w:rPr>
        <w:t>Functional immunity</w:t>
      </w:r>
      <w:r w:rsidR="003C3C70" w:rsidRPr="005107BC">
        <w:rPr>
          <w:rFonts w:asciiTheme="majorHAnsi" w:hAnsiTheme="majorHAnsi"/>
          <w:u w:val="single"/>
          <w:lang w:val="en-US"/>
        </w:rPr>
        <w:t xml:space="preserve"> (cf. pp. </w:t>
      </w:r>
      <w:r w:rsidR="00814AED">
        <w:rPr>
          <w:rFonts w:asciiTheme="majorHAnsi" w:hAnsiTheme="majorHAnsi"/>
          <w:u w:val="single"/>
          <w:lang w:val="en-US"/>
        </w:rPr>
        <w:t>554-559</w:t>
      </w:r>
      <w:r w:rsidR="0023382F" w:rsidRPr="005107BC">
        <w:rPr>
          <w:rFonts w:asciiTheme="majorHAnsi" w:hAnsiTheme="majorHAnsi"/>
          <w:u w:val="single"/>
          <w:lang w:val="en-US"/>
        </w:rPr>
        <w:t xml:space="preserve"> </w:t>
      </w:r>
      <w:r w:rsidR="003C3C70" w:rsidRPr="005107BC">
        <w:rPr>
          <w:rFonts w:asciiTheme="majorHAnsi" w:hAnsiTheme="majorHAnsi"/>
          <w:u w:val="single"/>
          <w:lang w:val="en-US"/>
        </w:rPr>
        <w:t>of the textbook)</w:t>
      </w:r>
    </w:p>
    <w:p w:rsidR="003C3C70" w:rsidRDefault="00EF1CD4" w:rsidP="005107BC">
      <w:pPr>
        <w:jc w:val="both"/>
        <w:rPr>
          <w:rFonts w:asciiTheme="majorHAnsi" w:hAnsiTheme="majorHAnsi"/>
          <w:lang w:val="en-US"/>
        </w:rPr>
      </w:pPr>
      <w:r>
        <w:rPr>
          <w:rFonts w:asciiTheme="majorHAnsi" w:hAnsiTheme="majorHAnsi"/>
          <w:lang w:val="en-US"/>
        </w:rPr>
        <w:t>9</w:t>
      </w:r>
      <w:r w:rsidR="005B2AAA">
        <w:rPr>
          <w:rFonts w:asciiTheme="majorHAnsi" w:hAnsiTheme="majorHAnsi"/>
          <w:lang w:val="en-US"/>
        </w:rPr>
        <w:t>.a)</w:t>
      </w:r>
      <w:r w:rsidR="003C3C70">
        <w:rPr>
          <w:rFonts w:asciiTheme="majorHAnsi" w:hAnsiTheme="majorHAnsi"/>
          <w:lang w:val="en-US"/>
        </w:rPr>
        <w:t xml:space="preserve"> Even though prac</w:t>
      </w:r>
      <w:r w:rsidR="00227A32">
        <w:rPr>
          <w:rFonts w:asciiTheme="majorHAnsi" w:hAnsiTheme="majorHAnsi"/>
          <w:lang w:val="en-US"/>
        </w:rPr>
        <w:t>tice is not very consistent</w:t>
      </w:r>
      <w:r w:rsidR="002B7190">
        <w:rPr>
          <w:rFonts w:asciiTheme="majorHAnsi" w:hAnsiTheme="majorHAnsi"/>
          <w:lang w:val="en-US"/>
        </w:rPr>
        <w:t xml:space="preserve"> and grey areas still subsist</w:t>
      </w:r>
      <w:r w:rsidR="00227A32">
        <w:rPr>
          <w:rFonts w:asciiTheme="majorHAnsi" w:hAnsiTheme="majorHAnsi"/>
          <w:lang w:val="en-US"/>
        </w:rPr>
        <w:t>, a g</w:t>
      </w:r>
      <w:r w:rsidR="003C3C70">
        <w:rPr>
          <w:rFonts w:asciiTheme="majorHAnsi" w:hAnsiTheme="majorHAnsi"/>
          <w:lang w:val="en-US"/>
        </w:rPr>
        <w:t>overnment official performing official acts</w:t>
      </w:r>
      <w:r w:rsidR="002B7190">
        <w:rPr>
          <w:rFonts w:asciiTheme="majorHAnsi" w:hAnsiTheme="majorHAnsi"/>
          <w:lang w:val="en-US"/>
        </w:rPr>
        <w:t xml:space="preserve"> involving another State </w:t>
      </w:r>
      <w:r w:rsidR="003C3C70">
        <w:rPr>
          <w:rFonts w:asciiTheme="majorHAnsi" w:hAnsiTheme="majorHAnsi"/>
          <w:lang w:val="en-US"/>
        </w:rPr>
        <w:t>is granted fu</w:t>
      </w:r>
      <w:r w:rsidR="00227A32">
        <w:rPr>
          <w:rFonts w:asciiTheme="majorHAnsi" w:hAnsiTheme="majorHAnsi"/>
          <w:lang w:val="en-US"/>
        </w:rPr>
        <w:t>nctional jurisdictional immunities</w:t>
      </w:r>
      <w:r w:rsidR="00DF6C74">
        <w:rPr>
          <w:rFonts w:asciiTheme="majorHAnsi" w:hAnsiTheme="majorHAnsi"/>
          <w:lang w:val="en-US"/>
        </w:rPr>
        <w:t xml:space="preserve"> vis-à-vis the latter’s courts</w:t>
      </w:r>
      <w:r w:rsidR="002B7190">
        <w:rPr>
          <w:rFonts w:asciiTheme="majorHAnsi" w:hAnsiTheme="majorHAnsi"/>
          <w:lang w:val="en-US"/>
        </w:rPr>
        <w:t>, that would continue also after the end of the governmental functions</w:t>
      </w:r>
      <w:r w:rsidR="00227A32">
        <w:rPr>
          <w:rFonts w:asciiTheme="majorHAnsi" w:hAnsiTheme="majorHAnsi"/>
          <w:lang w:val="en-US"/>
        </w:rPr>
        <w:t>. All g</w:t>
      </w:r>
      <w:r w:rsidR="003C3C70">
        <w:rPr>
          <w:rFonts w:asciiTheme="majorHAnsi" w:hAnsiTheme="majorHAnsi"/>
          <w:lang w:val="en-US"/>
        </w:rPr>
        <w:t xml:space="preserve">overnment officials enjoy at least this basic form of functional immunity, </w:t>
      </w:r>
      <w:r w:rsidR="00227A32">
        <w:rPr>
          <w:rFonts w:asciiTheme="majorHAnsi" w:hAnsiTheme="majorHAnsi"/>
          <w:lang w:val="en-US"/>
        </w:rPr>
        <w:t>whereas specific categories of g</w:t>
      </w:r>
      <w:r w:rsidR="003C3C70">
        <w:rPr>
          <w:rFonts w:asciiTheme="majorHAnsi" w:hAnsiTheme="majorHAnsi"/>
          <w:lang w:val="en-US"/>
        </w:rPr>
        <w:t>overnment officials, i.e. diplomats, consular officials, heads of sta</w:t>
      </w:r>
      <w:r w:rsidR="00872554">
        <w:rPr>
          <w:rFonts w:asciiTheme="majorHAnsi" w:hAnsiTheme="majorHAnsi"/>
          <w:lang w:val="en-US"/>
        </w:rPr>
        <w:t>te and government and ministers</w:t>
      </w:r>
      <w:r w:rsidR="003C3C70">
        <w:rPr>
          <w:rFonts w:asciiTheme="majorHAnsi" w:hAnsiTheme="majorHAnsi"/>
          <w:lang w:val="en-US"/>
        </w:rPr>
        <w:t xml:space="preserve"> of foreign affairs, benefit also from various other privileges and immunities (see pp.</w:t>
      </w:r>
      <w:r w:rsidR="0023382F">
        <w:rPr>
          <w:rFonts w:asciiTheme="majorHAnsi" w:hAnsiTheme="majorHAnsi"/>
          <w:lang w:val="en-US"/>
        </w:rPr>
        <w:t xml:space="preserve"> </w:t>
      </w:r>
      <w:r w:rsidR="003C3C70">
        <w:rPr>
          <w:rFonts w:asciiTheme="majorHAnsi" w:hAnsiTheme="majorHAnsi"/>
          <w:lang w:val="en-US"/>
        </w:rPr>
        <w:t xml:space="preserve"> </w:t>
      </w:r>
      <w:r w:rsidR="0023382F">
        <w:rPr>
          <w:rFonts w:asciiTheme="majorHAnsi" w:hAnsiTheme="majorHAnsi"/>
          <w:lang w:val="en-US"/>
        </w:rPr>
        <w:t xml:space="preserve">535-538 and 545-563 </w:t>
      </w:r>
      <w:r w:rsidR="003C3C70">
        <w:rPr>
          <w:rFonts w:asciiTheme="majorHAnsi" w:hAnsiTheme="majorHAnsi"/>
          <w:lang w:val="en-US"/>
        </w:rPr>
        <w:t>of the textbook), in addition to the said basic functional immunity.</w:t>
      </w:r>
    </w:p>
    <w:p w:rsidR="003C3C70" w:rsidRDefault="003C3C70" w:rsidP="005107BC">
      <w:pPr>
        <w:jc w:val="both"/>
        <w:rPr>
          <w:rFonts w:asciiTheme="majorHAnsi" w:hAnsiTheme="majorHAnsi"/>
          <w:lang w:val="en-US"/>
        </w:rPr>
      </w:pPr>
      <w:r>
        <w:rPr>
          <w:rFonts w:asciiTheme="majorHAnsi" w:hAnsiTheme="majorHAnsi"/>
          <w:lang w:val="en-US"/>
        </w:rPr>
        <w:t xml:space="preserve">However, two exceptions seem to have developed, whereby </w:t>
      </w:r>
      <w:r w:rsidR="002B7190">
        <w:rPr>
          <w:rFonts w:asciiTheme="majorHAnsi" w:hAnsiTheme="majorHAnsi"/>
          <w:lang w:val="en-US"/>
        </w:rPr>
        <w:t xml:space="preserve">basic </w:t>
      </w:r>
      <w:r>
        <w:rPr>
          <w:rFonts w:asciiTheme="majorHAnsi" w:hAnsiTheme="majorHAnsi"/>
          <w:lang w:val="en-US"/>
        </w:rPr>
        <w:t xml:space="preserve">functional immunity </w:t>
      </w:r>
      <w:r w:rsidR="002B7190">
        <w:rPr>
          <w:rFonts w:asciiTheme="majorHAnsi" w:hAnsiTheme="majorHAnsi"/>
          <w:lang w:val="en-US"/>
        </w:rPr>
        <w:t xml:space="preserve">(at least as far as criminal jurisdiction is concerned) </w:t>
      </w:r>
      <w:r>
        <w:rPr>
          <w:rFonts w:asciiTheme="majorHAnsi" w:hAnsiTheme="majorHAnsi"/>
          <w:lang w:val="en-US"/>
        </w:rPr>
        <w:t>would</w:t>
      </w:r>
      <w:r w:rsidR="002B7190">
        <w:rPr>
          <w:rFonts w:asciiTheme="majorHAnsi" w:hAnsiTheme="majorHAnsi"/>
          <w:lang w:val="en-US"/>
        </w:rPr>
        <w:t xml:space="preserve"> </w:t>
      </w:r>
      <w:r w:rsidR="00227A32">
        <w:rPr>
          <w:rFonts w:asciiTheme="majorHAnsi" w:hAnsiTheme="majorHAnsi"/>
          <w:lang w:val="en-US"/>
        </w:rPr>
        <w:t>not be recognized to a foreign g</w:t>
      </w:r>
      <w:r>
        <w:rPr>
          <w:rFonts w:asciiTheme="majorHAnsi" w:hAnsiTheme="majorHAnsi"/>
          <w:lang w:val="en-US"/>
        </w:rPr>
        <w:t>overnment official in case of:</w:t>
      </w:r>
    </w:p>
    <w:p w:rsidR="003C3C70" w:rsidRDefault="0023382F" w:rsidP="005107BC">
      <w:pPr>
        <w:jc w:val="both"/>
        <w:rPr>
          <w:rFonts w:asciiTheme="majorHAnsi" w:hAnsiTheme="majorHAnsi"/>
          <w:lang w:val="en-US"/>
        </w:rPr>
      </w:pPr>
      <w:proofErr w:type="spellStart"/>
      <w:r>
        <w:rPr>
          <w:rFonts w:asciiTheme="majorHAnsi" w:hAnsiTheme="majorHAnsi"/>
          <w:lang w:val="en-US"/>
        </w:rPr>
        <w:t>i</w:t>
      </w:r>
      <w:proofErr w:type="spellEnd"/>
      <w:r>
        <w:rPr>
          <w:rFonts w:asciiTheme="majorHAnsi" w:hAnsiTheme="majorHAnsi"/>
          <w:lang w:val="en-US"/>
        </w:rPr>
        <w:t>)</w:t>
      </w:r>
      <w:r w:rsidR="003C3C70">
        <w:rPr>
          <w:rFonts w:asciiTheme="majorHAnsi" w:hAnsiTheme="majorHAnsi"/>
          <w:lang w:val="en-US"/>
        </w:rPr>
        <w:t xml:space="preserve"> </w:t>
      </w:r>
      <w:r w:rsidR="003C3C70" w:rsidRPr="00280394">
        <w:rPr>
          <w:rFonts w:asciiTheme="majorHAnsi" w:hAnsiTheme="majorHAnsi"/>
          <w:i/>
          <w:lang w:val="en-US"/>
        </w:rPr>
        <w:t>clandestine</w:t>
      </w:r>
      <w:r w:rsidR="003C3C70" w:rsidRPr="00954AE2">
        <w:rPr>
          <w:rFonts w:asciiTheme="majorHAnsi" w:hAnsiTheme="majorHAnsi"/>
          <w:lang w:val="en-US"/>
        </w:rPr>
        <w:t xml:space="preserve"> </w:t>
      </w:r>
      <w:r w:rsidR="003C3C70">
        <w:rPr>
          <w:rFonts w:asciiTheme="majorHAnsi" w:hAnsiTheme="majorHAnsi"/>
          <w:lang w:val="en-US"/>
        </w:rPr>
        <w:t>activities</w:t>
      </w:r>
      <w:r w:rsidR="00F73AA4">
        <w:rPr>
          <w:rFonts w:asciiTheme="majorHAnsi" w:hAnsiTheme="majorHAnsi"/>
          <w:lang w:val="en-US"/>
        </w:rPr>
        <w:t xml:space="preserve"> </w:t>
      </w:r>
      <w:r w:rsidR="00F73AA4" w:rsidRPr="00F73AA4">
        <w:rPr>
          <w:rFonts w:asciiTheme="majorHAnsi" w:hAnsiTheme="majorHAnsi"/>
          <w:i/>
          <w:u w:val="single"/>
          <w:lang w:val="en-US"/>
        </w:rPr>
        <w:t>abroad</w:t>
      </w:r>
      <w:r w:rsidR="00F73AA4">
        <w:rPr>
          <w:rFonts w:asciiTheme="majorHAnsi" w:hAnsiTheme="majorHAnsi"/>
          <w:lang w:val="en-US"/>
        </w:rPr>
        <w:t xml:space="preserve"> (in particular in the territorial State)</w:t>
      </w:r>
      <w:r w:rsidR="003C3C70">
        <w:rPr>
          <w:rFonts w:asciiTheme="majorHAnsi" w:hAnsiTheme="majorHAnsi"/>
          <w:lang w:val="en-US"/>
        </w:rPr>
        <w:t>;</w:t>
      </w:r>
    </w:p>
    <w:p w:rsidR="00B91787" w:rsidRDefault="0023382F" w:rsidP="005107BC">
      <w:pPr>
        <w:jc w:val="both"/>
        <w:rPr>
          <w:rFonts w:asciiTheme="majorHAnsi" w:hAnsiTheme="majorHAnsi"/>
          <w:lang w:val="en-US"/>
        </w:rPr>
      </w:pPr>
      <w:r>
        <w:rPr>
          <w:rFonts w:asciiTheme="majorHAnsi" w:hAnsiTheme="majorHAnsi"/>
          <w:lang w:val="en-US"/>
        </w:rPr>
        <w:t>ii)</w:t>
      </w:r>
      <w:r w:rsidR="003C3C70">
        <w:rPr>
          <w:rFonts w:asciiTheme="majorHAnsi" w:hAnsiTheme="majorHAnsi"/>
          <w:lang w:val="en-US"/>
        </w:rPr>
        <w:t xml:space="preserve"> international crimes. </w:t>
      </w:r>
    </w:p>
    <w:p w:rsidR="00A21791" w:rsidRPr="00A21791" w:rsidRDefault="00EF1CD4" w:rsidP="00A21791">
      <w:pPr>
        <w:jc w:val="both"/>
        <w:rPr>
          <w:rFonts w:asciiTheme="majorHAnsi" w:hAnsiTheme="majorHAnsi"/>
          <w:lang w:val="en-US"/>
        </w:rPr>
      </w:pPr>
      <w:r>
        <w:rPr>
          <w:rFonts w:asciiTheme="majorHAnsi" w:hAnsiTheme="majorHAnsi"/>
          <w:lang w:val="en-US"/>
        </w:rPr>
        <w:t>9</w:t>
      </w:r>
      <w:r w:rsidR="005B2AAA">
        <w:rPr>
          <w:rFonts w:asciiTheme="majorHAnsi" w:hAnsiTheme="majorHAnsi"/>
          <w:lang w:val="en-US"/>
        </w:rPr>
        <w:t xml:space="preserve">.b) </w:t>
      </w:r>
      <w:r w:rsidR="0023382F">
        <w:rPr>
          <w:rFonts w:asciiTheme="majorHAnsi" w:hAnsiTheme="majorHAnsi"/>
          <w:lang w:val="en-US"/>
        </w:rPr>
        <w:t xml:space="preserve">The trend, concerning </w:t>
      </w:r>
      <w:r w:rsidR="0023382F" w:rsidRPr="0023382F">
        <w:rPr>
          <w:rFonts w:asciiTheme="majorHAnsi" w:hAnsiTheme="majorHAnsi"/>
          <w:lang w:val="en-US"/>
        </w:rPr>
        <w:t>heads of state and government and ministries of foreign affairs</w:t>
      </w:r>
      <w:r w:rsidR="0023382F">
        <w:rPr>
          <w:rFonts w:asciiTheme="majorHAnsi" w:hAnsiTheme="majorHAnsi"/>
          <w:lang w:val="en-US"/>
        </w:rPr>
        <w:t xml:space="preserve">, appears to go in the sense that they could be prosecuted, </w:t>
      </w:r>
      <w:r w:rsidR="0023382F" w:rsidRPr="00AB5D1B">
        <w:rPr>
          <w:rFonts w:asciiTheme="majorHAnsi" w:hAnsiTheme="majorHAnsi"/>
          <w:i/>
          <w:lang w:val="en-US"/>
        </w:rPr>
        <w:t>after the person concerned ceased to hold the office</w:t>
      </w:r>
      <w:r w:rsidR="0023382F">
        <w:rPr>
          <w:rFonts w:asciiTheme="majorHAnsi" w:hAnsiTheme="majorHAnsi"/>
          <w:lang w:val="en-US"/>
        </w:rPr>
        <w:t xml:space="preserve">, also for international crimes committed during </w:t>
      </w:r>
      <w:r w:rsidR="00AB5D1B">
        <w:rPr>
          <w:rFonts w:asciiTheme="majorHAnsi" w:hAnsiTheme="majorHAnsi"/>
          <w:lang w:val="en-US"/>
        </w:rPr>
        <w:t>the period of office.</w:t>
      </w:r>
      <w:r w:rsidR="00833C31">
        <w:rPr>
          <w:rFonts w:asciiTheme="majorHAnsi" w:hAnsiTheme="majorHAnsi"/>
          <w:lang w:val="en-US"/>
        </w:rPr>
        <w:t xml:space="preserve"> Therefore, at least as far as international crimes (including torture) are concerned</w:t>
      </w:r>
      <w:r w:rsidR="005D3B20">
        <w:rPr>
          <w:rFonts w:asciiTheme="majorHAnsi" w:hAnsiTheme="majorHAnsi"/>
          <w:lang w:val="en-US"/>
        </w:rPr>
        <w:t>,</w:t>
      </w:r>
      <w:r w:rsidR="00833C31">
        <w:rPr>
          <w:rFonts w:asciiTheme="majorHAnsi" w:hAnsiTheme="majorHAnsi"/>
          <w:lang w:val="en-US"/>
        </w:rPr>
        <w:t xml:space="preserve"> the question of prosecution (</w:t>
      </w:r>
      <w:r w:rsidR="00B0245A">
        <w:rPr>
          <w:rFonts w:asciiTheme="majorHAnsi" w:hAnsiTheme="majorHAnsi"/>
          <w:lang w:val="en-US"/>
        </w:rPr>
        <w:t>including</w:t>
      </w:r>
      <w:r w:rsidR="00833C31">
        <w:rPr>
          <w:rFonts w:asciiTheme="majorHAnsi" w:hAnsiTheme="majorHAnsi"/>
          <w:lang w:val="en-US"/>
        </w:rPr>
        <w:t xml:space="preserve"> by </w:t>
      </w:r>
      <w:r w:rsidR="00833C31">
        <w:rPr>
          <w:rFonts w:asciiTheme="majorHAnsi" w:hAnsiTheme="majorHAnsi"/>
          <w:lang w:val="en-US"/>
        </w:rPr>
        <w:lastRenderedPageBreak/>
        <w:t>courts of other countries) of such senior government fi</w:t>
      </w:r>
      <w:r w:rsidR="00872554">
        <w:rPr>
          <w:rFonts w:asciiTheme="majorHAnsi" w:hAnsiTheme="majorHAnsi"/>
          <w:lang w:val="en-US"/>
        </w:rPr>
        <w:t>gures seems to be less open than</w:t>
      </w:r>
      <w:r w:rsidR="00833C31">
        <w:rPr>
          <w:rFonts w:asciiTheme="majorHAnsi" w:hAnsiTheme="majorHAnsi"/>
          <w:lang w:val="en-US"/>
        </w:rPr>
        <w:t xml:space="preserve"> t</w:t>
      </w:r>
      <w:r w:rsidR="00814AED">
        <w:rPr>
          <w:rFonts w:asciiTheme="majorHAnsi" w:hAnsiTheme="majorHAnsi"/>
          <w:lang w:val="en-US"/>
        </w:rPr>
        <w:t xml:space="preserve">he textbook </w:t>
      </w:r>
      <w:r w:rsidR="005D3B20">
        <w:rPr>
          <w:rFonts w:asciiTheme="majorHAnsi" w:hAnsiTheme="majorHAnsi"/>
          <w:lang w:val="en-US"/>
        </w:rPr>
        <w:t>suggests.</w:t>
      </w:r>
    </w:p>
    <w:p w:rsidR="00A42C99" w:rsidRPr="00A7290B" w:rsidRDefault="00764EFE" w:rsidP="00A7290B">
      <w:pPr>
        <w:pStyle w:val="Paragrafoelenco"/>
        <w:numPr>
          <w:ilvl w:val="0"/>
          <w:numId w:val="3"/>
        </w:numPr>
        <w:jc w:val="both"/>
        <w:rPr>
          <w:rFonts w:asciiTheme="majorHAnsi" w:hAnsiTheme="majorHAnsi"/>
          <w:u w:val="single"/>
          <w:lang w:val="en-US"/>
        </w:rPr>
      </w:pPr>
      <w:r>
        <w:rPr>
          <w:rFonts w:asciiTheme="majorHAnsi" w:hAnsiTheme="majorHAnsi"/>
          <w:u w:val="single"/>
          <w:lang w:val="en-US"/>
        </w:rPr>
        <w:t>Hong Kong (see p. 763 of the textbook)</w:t>
      </w:r>
    </w:p>
    <w:p w:rsidR="0013750A" w:rsidRDefault="00A42C99" w:rsidP="00A42C99">
      <w:pPr>
        <w:jc w:val="both"/>
        <w:rPr>
          <w:rFonts w:asciiTheme="majorHAnsi" w:hAnsiTheme="majorHAnsi"/>
          <w:lang w:val="en-US"/>
        </w:rPr>
      </w:pPr>
      <w:r w:rsidRPr="00A42C99">
        <w:rPr>
          <w:rFonts w:asciiTheme="majorHAnsi" w:hAnsiTheme="majorHAnsi"/>
          <w:lang w:val="en-US"/>
        </w:rPr>
        <w:t>The case of Hong Kong is one of the most interesting in this area. Pursuant to Article XIII of Annex I to the 1984 Agreement between China and Britain, on the basis of which Hong Kong was returned to China in 1997, both States notified the Secretary General of the United Nations that the two United Nations human rights covenants were to continue in force notwithstanding the fact that in 1997 China had not ratified any of them. In the meantime China has become a party to the UN Covenant on Social, Economic and Cultural Rights but it has not yet ratified the UN Covenant on Civi</w:t>
      </w:r>
      <w:r w:rsidR="0013750A">
        <w:rPr>
          <w:rFonts w:asciiTheme="majorHAnsi" w:hAnsiTheme="majorHAnsi"/>
          <w:lang w:val="en-US"/>
        </w:rPr>
        <w:t>l and Political Rights. The Hong Kong Special Administrative Region of the People’s Republic of China</w:t>
      </w:r>
      <w:r w:rsidRPr="00A42C99">
        <w:rPr>
          <w:rFonts w:asciiTheme="majorHAnsi" w:hAnsiTheme="majorHAnsi"/>
          <w:lang w:val="en-US"/>
        </w:rPr>
        <w:t xml:space="preserve"> has </w:t>
      </w:r>
      <w:r w:rsidR="0013750A">
        <w:rPr>
          <w:rFonts w:asciiTheme="majorHAnsi" w:hAnsiTheme="majorHAnsi"/>
          <w:lang w:val="en-US"/>
        </w:rPr>
        <w:t xml:space="preserve">nevertheless </w:t>
      </w:r>
      <w:r w:rsidRPr="00A42C99">
        <w:rPr>
          <w:rFonts w:asciiTheme="majorHAnsi" w:hAnsiTheme="majorHAnsi"/>
          <w:lang w:val="en-US"/>
        </w:rPr>
        <w:t>been regularly reporting to the control mechanism of the latter treaty on its implementatio</w:t>
      </w:r>
      <w:r w:rsidR="0013750A">
        <w:rPr>
          <w:rFonts w:asciiTheme="majorHAnsi" w:hAnsiTheme="majorHAnsi"/>
          <w:lang w:val="en-US"/>
        </w:rPr>
        <w:t xml:space="preserve">n in the territory of Hong Kong (see: </w:t>
      </w:r>
      <w:hyperlink r:id="rId11" w:history="1">
        <w:r w:rsidR="0013750A" w:rsidRPr="008E5B09">
          <w:rPr>
            <w:rStyle w:val="Collegamentoipertestuale"/>
            <w:rFonts w:asciiTheme="majorHAnsi" w:hAnsiTheme="majorHAnsi"/>
            <w:lang w:val="en-US"/>
          </w:rPr>
          <w:t>http://tbinternet.ohchr.org/_layouts/treatybodyexternal/TBSearch.aspx?Lang=en&amp;TreatyID=8&amp;DocTypeID=45&amp;DocTypeID=29</w:t>
        </w:r>
      </w:hyperlink>
      <w:r w:rsidR="0013750A">
        <w:rPr>
          <w:rFonts w:asciiTheme="majorHAnsi" w:hAnsiTheme="majorHAnsi"/>
          <w:lang w:val="en-US"/>
        </w:rPr>
        <w:t xml:space="preserve"> ).</w:t>
      </w:r>
      <w:r w:rsidR="00764EFE">
        <w:rPr>
          <w:rFonts w:asciiTheme="majorHAnsi" w:hAnsiTheme="majorHAnsi"/>
          <w:lang w:val="en-US"/>
        </w:rPr>
        <w:t xml:space="preserve"> </w:t>
      </w:r>
    </w:p>
    <w:p w:rsidR="00764EFE" w:rsidRPr="00764EFE" w:rsidRDefault="00764EFE" w:rsidP="00764EFE">
      <w:pPr>
        <w:pStyle w:val="Paragrafoelenco"/>
        <w:numPr>
          <w:ilvl w:val="0"/>
          <w:numId w:val="3"/>
        </w:numPr>
        <w:jc w:val="both"/>
        <w:rPr>
          <w:rFonts w:asciiTheme="majorHAnsi" w:hAnsiTheme="majorHAnsi"/>
          <w:u w:val="single"/>
          <w:lang w:val="en-US"/>
        </w:rPr>
      </w:pPr>
      <w:r w:rsidRPr="00764EFE">
        <w:rPr>
          <w:rFonts w:asciiTheme="majorHAnsi" w:hAnsiTheme="majorHAnsi"/>
          <w:u w:val="single"/>
          <w:lang w:val="en-US"/>
        </w:rPr>
        <w:t>State succession and nationality</w:t>
      </w:r>
    </w:p>
    <w:p w:rsidR="00D03461" w:rsidRPr="00D03461" w:rsidRDefault="00D03461" w:rsidP="00D03461">
      <w:pPr>
        <w:jc w:val="both"/>
        <w:rPr>
          <w:rFonts w:asciiTheme="majorHAnsi" w:hAnsiTheme="majorHAnsi"/>
          <w:lang w:val="en-US"/>
        </w:rPr>
      </w:pPr>
      <w:r w:rsidRPr="00D03461">
        <w:rPr>
          <w:rFonts w:asciiTheme="majorHAnsi" w:hAnsiTheme="majorHAnsi"/>
          <w:lang w:val="en-US"/>
        </w:rPr>
        <w:t>The sentence, i</w:t>
      </w:r>
      <w:r w:rsidR="00764EFE">
        <w:rPr>
          <w:rFonts w:asciiTheme="majorHAnsi" w:hAnsiTheme="majorHAnsi"/>
          <w:lang w:val="en-US"/>
        </w:rPr>
        <w:t>n the middle paragraph at p. 759</w:t>
      </w:r>
      <w:r w:rsidRPr="00D03461">
        <w:rPr>
          <w:rFonts w:asciiTheme="majorHAnsi" w:hAnsiTheme="majorHAnsi"/>
          <w:lang w:val="en-US"/>
        </w:rPr>
        <w:t xml:space="preserve"> of the textbook, “There may indeed be a principle … taken over by the successor State”, should logically be completed as follows:</w:t>
      </w:r>
    </w:p>
    <w:p w:rsidR="00051A90" w:rsidRDefault="00D03461" w:rsidP="00D03461">
      <w:pPr>
        <w:jc w:val="both"/>
        <w:rPr>
          <w:rFonts w:asciiTheme="majorHAnsi" w:hAnsiTheme="majorHAnsi"/>
          <w:lang w:val="en-US"/>
        </w:rPr>
      </w:pPr>
      <w:r w:rsidRPr="00D03461">
        <w:rPr>
          <w:rFonts w:asciiTheme="majorHAnsi" w:hAnsiTheme="majorHAnsi"/>
          <w:lang w:val="en-US"/>
        </w:rPr>
        <w:t xml:space="preserve">«There may indeed be a principle in international law to the effect that the successor state should provide for the possibility of nationals of the predecessor state living in or having a substantial connection with the territory taken over by the successor state </w:t>
      </w:r>
      <w:r w:rsidRPr="00891D8D">
        <w:rPr>
          <w:rFonts w:asciiTheme="majorHAnsi" w:hAnsiTheme="majorHAnsi"/>
          <w:i/>
          <w:lang w:val="en-US"/>
        </w:rPr>
        <w:t>to obtain the successor State’s nationality</w:t>
      </w:r>
      <w:r w:rsidR="000B31BB">
        <w:rPr>
          <w:rFonts w:asciiTheme="majorHAnsi" w:hAnsiTheme="majorHAnsi"/>
          <w:lang w:val="en-US"/>
        </w:rPr>
        <w:t>» (</w:t>
      </w:r>
      <w:r w:rsidR="000B31BB" w:rsidRPr="000B31BB">
        <w:rPr>
          <w:rFonts w:asciiTheme="majorHAnsi" w:hAnsiTheme="majorHAnsi"/>
          <w:i/>
          <w:lang w:val="en-US"/>
        </w:rPr>
        <w:t>i</w:t>
      </w:r>
      <w:r w:rsidRPr="000B31BB">
        <w:rPr>
          <w:rFonts w:asciiTheme="majorHAnsi" w:hAnsiTheme="majorHAnsi"/>
          <w:i/>
          <w:lang w:val="en-US"/>
        </w:rPr>
        <w:t>talics added</w:t>
      </w:r>
      <w:r w:rsidRPr="00D03461">
        <w:rPr>
          <w:rFonts w:asciiTheme="majorHAnsi" w:hAnsiTheme="majorHAnsi"/>
          <w:lang w:val="en-US"/>
        </w:rPr>
        <w:t>)</w:t>
      </w:r>
      <w:r w:rsidR="000B31BB">
        <w:rPr>
          <w:rFonts w:asciiTheme="majorHAnsi" w:hAnsiTheme="majorHAnsi"/>
          <w:lang w:val="en-US"/>
        </w:rPr>
        <w:t>.</w:t>
      </w:r>
    </w:p>
    <w:p w:rsidR="00D03461" w:rsidRPr="00A7290B" w:rsidRDefault="00D03461" w:rsidP="00A7290B">
      <w:pPr>
        <w:pStyle w:val="Paragrafoelenco"/>
        <w:numPr>
          <w:ilvl w:val="0"/>
          <w:numId w:val="3"/>
        </w:numPr>
        <w:jc w:val="both"/>
        <w:rPr>
          <w:rFonts w:asciiTheme="majorHAnsi" w:hAnsiTheme="majorHAnsi"/>
          <w:u w:val="single"/>
          <w:lang w:val="en-US"/>
        </w:rPr>
      </w:pPr>
      <w:r w:rsidRPr="00A7290B">
        <w:rPr>
          <w:rFonts w:asciiTheme="majorHAnsi" w:hAnsiTheme="majorHAnsi"/>
          <w:u w:val="single"/>
          <w:lang w:val="en-US"/>
        </w:rPr>
        <w:t>Bays</w:t>
      </w:r>
    </w:p>
    <w:p w:rsidR="00D03461" w:rsidRDefault="00D03461" w:rsidP="00D03461">
      <w:pPr>
        <w:jc w:val="both"/>
        <w:rPr>
          <w:rFonts w:asciiTheme="majorHAnsi" w:hAnsiTheme="majorHAnsi"/>
          <w:lang w:val="en-US"/>
        </w:rPr>
      </w:pPr>
      <w:r w:rsidRPr="00D03461">
        <w:rPr>
          <w:rFonts w:asciiTheme="majorHAnsi" w:hAnsiTheme="majorHAnsi"/>
          <w:lang w:val="en-US"/>
        </w:rPr>
        <w:t>Note that waters enclosed within the 24 nautical miles limit laid down in Article 10 paragraphs 4 and 5 of the United Nations Convention on the Law of the Sea, as well as waters enclosed in historic bays, are considered as internal waters. As a consequence, the waters beyond these limits will be part of the territorial sea (up to 12 nautical miles, of course).</w:t>
      </w:r>
    </w:p>
    <w:p w:rsidR="000C4F85" w:rsidRPr="00A7290B" w:rsidRDefault="00372E61" w:rsidP="00A7290B">
      <w:pPr>
        <w:pStyle w:val="Paragrafoelenco"/>
        <w:numPr>
          <w:ilvl w:val="0"/>
          <w:numId w:val="3"/>
        </w:numPr>
        <w:jc w:val="both"/>
        <w:rPr>
          <w:rFonts w:asciiTheme="majorHAnsi" w:hAnsiTheme="majorHAnsi"/>
          <w:lang w:val="en-US"/>
        </w:rPr>
      </w:pPr>
      <w:r w:rsidRPr="00A7290B">
        <w:rPr>
          <w:rFonts w:asciiTheme="majorHAnsi" w:hAnsiTheme="majorHAnsi"/>
          <w:u w:val="single"/>
          <w:lang w:val="en-US"/>
        </w:rPr>
        <w:t>Duty to render assistance</w:t>
      </w:r>
    </w:p>
    <w:p w:rsidR="001D2ED1" w:rsidRPr="00372E61" w:rsidRDefault="000C4F85" w:rsidP="00372E61">
      <w:pPr>
        <w:jc w:val="both"/>
        <w:rPr>
          <w:rFonts w:asciiTheme="majorHAnsi" w:hAnsiTheme="majorHAnsi"/>
          <w:lang w:val="en-US"/>
        </w:rPr>
      </w:pPr>
      <w:r>
        <w:rPr>
          <w:rFonts w:asciiTheme="majorHAnsi" w:hAnsiTheme="majorHAnsi"/>
          <w:lang w:val="en-US"/>
        </w:rPr>
        <w:t xml:space="preserve">The obligation to </w:t>
      </w:r>
      <w:r w:rsidR="00372E61">
        <w:rPr>
          <w:rFonts w:asciiTheme="majorHAnsi" w:hAnsiTheme="majorHAnsi"/>
          <w:lang w:val="en-US"/>
        </w:rPr>
        <w:t>rescue persons in distress in the high seas</w:t>
      </w:r>
      <w:r>
        <w:rPr>
          <w:rFonts w:asciiTheme="majorHAnsi" w:hAnsiTheme="majorHAnsi"/>
          <w:lang w:val="en-US"/>
        </w:rPr>
        <w:t xml:space="preserve">, laid down in </w:t>
      </w:r>
      <w:r w:rsidR="00E04FF4" w:rsidRPr="002D1D35">
        <w:rPr>
          <w:rFonts w:asciiTheme="majorHAnsi" w:hAnsiTheme="majorHAnsi"/>
          <w:lang w:val="en-US"/>
        </w:rPr>
        <w:t>Article 98 of UNCLOS</w:t>
      </w:r>
      <w:r w:rsidR="00372E61">
        <w:rPr>
          <w:rFonts w:asciiTheme="majorHAnsi" w:hAnsiTheme="majorHAnsi"/>
          <w:lang w:val="en-US"/>
        </w:rPr>
        <w:t xml:space="preserve"> (“United Nations Convention on the Law of the Sea”), now reflects</w:t>
      </w:r>
      <w:r>
        <w:rPr>
          <w:rFonts w:asciiTheme="majorHAnsi" w:hAnsiTheme="majorHAnsi"/>
          <w:lang w:val="en-US"/>
        </w:rPr>
        <w:t xml:space="preserve"> a customary rule. </w:t>
      </w:r>
      <w:r w:rsidR="00372E61">
        <w:rPr>
          <w:rFonts w:asciiTheme="majorHAnsi" w:hAnsiTheme="majorHAnsi"/>
          <w:lang w:val="en-US"/>
        </w:rPr>
        <w:t>Note that according to</w:t>
      </w:r>
      <w:r w:rsidR="00051A90">
        <w:rPr>
          <w:rFonts w:asciiTheme="majorHAnsi" w:hAnsiTheme="majorHAnsi"/>
          <w:lang w:val="en-US"/>
        </w:rPr>
        <w:t xml:space="preserve"> Article 58 para. 2 of UNCLOS, «</w:t>
      </w:r>
      <w:r w:rsidR="00372E61" w:rsidRPr="00372E61">
        <w:rPr>
          <w:rFonts w:asciiTheme="majorHAnsi" w:hAnsiTheme="majorHAnsi"/>
          <w:lang w:val="en-US"/>
        </w:rPr>
        <w:t>Articles 88 to 115 and other perti</w:t>
      </w:r>
      <w:r w:rsidR="00372E61">
        <w:rPr>
          <w:rFonts w:asciiTheme="majorHAnsi" w:hAnsiTheme="majorHAnsi"/>
          <w:lang w:val="en-US"/>
        </w:rPr>
        <w:t xml:space="preserve">nent rules of international law </w:t>
      </w:r>
      <w:r w:rsidR="00372E61" w:rsidRPr="00372E61">
        <w:rPr>
          <w:rFonts w:asciiTheme="majorHAnsi" w:hAnsiTheme="majorHAnsi"/>
          <w:lang w:val="en-US"/>
        </w:rPr>
        <w:t>apply to the exclusive economic zone in so far as they are not incompatible</w:t>
      </w:r>
      <w:r w:rsidR="00051A90">
        <w:rPr>
          <w:rFonts w:asciiTheme="majorHAnsi" w:hAnsiTheme="majorHAnsi"/>
          <w:lang w:val="en-US"/>
        </w:rPr>
        <w:t xml:space="preserve"> (…)»</w:t>
      </w:r>
      <w:r w:rsidR="00372E61">
        <w:rPr>
          <w:rFonts w:asciiTheme="majorHAnsi" w:hAnsiTheme="majorHAnsi"/>
          <w:lang w:val="en-US"/>
        </w:rPr>
        <w:t>.</w:t>
      </w:r>
    </w:p>
    <w:p w:rsidR="00E04FF4" w:rsidRPr="00A7290B" w:rsidRDefault="003F5C3C" w:rsidP="00A7290B">
      <w:pPr>
        <w:pStyle w:val="Paragrafoelenco"/>
        <w:numPr>
          <w:ilvl w:val="0"/>
          <w:numId w:val="3"/>
        </w:numPr>
        <w:jc w:val="both"/>
        <w:rPr>
          <w:rFonts w:asciiTheme="majorHAnsi" w:hAnsiTheme="majorHAnsi"/>
          <w:lang w:val="en-US"/>
        </w:rPr>
      </w:pPr>
      <w:r w:rsidRPr="00A7290B">
        <w:rPr>
          <w:rFonts w:asciiTheme="majorHAnsi" w:hAnsiTheme="majorHAnsi"/>
          <w:u w:val="single"/>
          <w:lang w:val="en-US"/>
        </w:rPr>
        <w:t>Measures to avoid pollution arising from maritime casualties</w:t>
      </w:r>
    </w:p>
    <w:p w:rsidR="00DB3380" w:rsidRPr="002D1D35" w:rsidRDefault="00E04FF4" w:rsidP="005107BC">
      <w:pPr>
        <w:jc w:val="both"/>
        <w:rPr>
          <w:rFonts w:asciiTheme="majorHAnsi" w:hAnsiTheme="majorHAnsi"/>
          <w:lang w:val="en-US"/>
        </w:rPr>
      </w:pPr>
      <w:r w:rsidRPr="002D1D35">
        <w:rPr>
          <w:rFonts w:asciiTheme="majorHAnsi" w:hAnsiTheme="majorHAnsi"/>
          <w:lang w:val="en-US"/>
        </w:rPr>
        <w:t>Article 221 of UNCLOS</w:t>
      </w:r>
      <w:r w:rsidR="003F5C3C">
        <w:rPr>
          <w:rFonts w:asciiTheme="majorHAnsi" w:hAnsiTheme="majorHAnsi"/>
          <w:lang w:val="en-US"/>
        </w:rPr>
        <w:t xml:space="preserve"> seems to be entering into a customary rule.</w:t>
      </w:r>
    </w:p>
    <w:p w:rsidR="00B91787" w:rsidRPr="00A7290B" w:rsidRDefault="00F41ADA" w:rsidP="00A7290B">
      <w:pPr>
        <w:pStyle w:val="Paragrafoelenco"/>
        <w:numPr>
          <w:ilvl w:val="0"/>
          <w:numId w:val="3"/>
        </w:numPr>
        <w:jc w:val="both"/>
        <w:rPr>
          <w:rFonts w:asciiTheme="majorHAnsi" w:hAnsiTheme="majorHAnsi"/>
          <w:lang w:val="en-US"/>
        </w:rPr>
      </w:pPr>
      <w:r>
        <w:rPr>
          <w:rFonts w:asciiTheme="majorHAnsi" w:hAnsiTheme="majorHAnsi"/>
          <w:u w:val="single"/>
          <w:lang w:val="en-US"/>
        </w:rPr>
        <w:t>Objective legal regimes (</w:t>
      </w:r>
      <w:r w:rsidR="00DB3380">
        <w:rPr>
          <w:rFonts w:asciiTheme="majorHAnsi" w:hAnsiTheme="majorHAnsi"/>
          <w:i/>
          <w:u w:val="single"/>
          <w:lang w:val="en-US"/>
        </w:rPr>
        <w:t>see also point 22</w:t>
      </w:r>
      <w:r w:rsidR="00FB2EE9" w:rsidRPr="008E0DFD">
        <w:rPr>
          <w:rFonts w:asciiTheme="majorHAnsi" w:hAnsiTheme="majorHAnsi"/>
          <w:i/>
          <w:u w:val="single"/>
          <w:lang w:val="en-US"/>
        </w:rPr>
        <w:t xml:space="preserve"> below</w:t>
      </w:r>
      <w:r w:rsidR="00FB2EE9">
        <w:rPr>
          <w:rFonts w:asciiTheme="majorHAnsi" w:hAnsiTheme="majorHAnsi"/>
          <w:u w:val="single"/>
          <w:lang w:val="en-US"/>
        </w:rPr>
        <w:t>)</w:t>
      </w:r>
    </w:p>
    <w:p w:rsidR="000C4F85" w:rsidRDefault="000C4F85" w:rsidP="005107BC">
      <w:pPr>
        <w:jc w:val="both"/>
        <w:rPr>
          <w:rFonts w:asciiTheme="majorHAnsi" w:hAnsiTheme="majorHAnsi"/>
          <w:lang w:val="en-US"/>
        </w:rPr>
      </w:pPr>
      <w:r>
        <w:rPr>
          <w:rFonts w:asciiTheme="majorHAnsi" w:hAnsiTheme="majorHAnsi"/>
          <w:lang w:val="en-US"/>
        </w:rPr>
        <w:t>Objec</w:t>
      </w:r>
      <w:r w:rsidR="00943216">
        <w:rPr>
          <w:rFonts w:asciiTheme="majorHAnsi" w:hAnsiTheme="majorHAnsi"/>
          <w:lang w:val="en-US"/>
        </w:rPr>
        <w:t>tive legal regimes constitute one of the</w:t>
      </w:r>
      <w:r>
        <w:rPr>
          <w:rFonts w:asciiTheme="majorHAnsi" w:hAnsiTheme="majorHAnsi"/>
          <w:lang w:val="en-US"/>
        </w:rPr>
        <w:t xml:space="preserve"> important exception</w:t>
      </w:r>
      <w:r w:rsidR="00943216">
        <w:rPr>
          <w:rFonts w:asciiTheme="majorHAnsi" w:hAnsiTheme="majorHAnsi"/>
          <w:lang w:val="en-US"/>
        </w:rPr>
        <w:t>s</w:t>
      </w:r>
      <w:r>
        <w:rPr>
          <w:rFonts w:asciiTheme="majorHAnsi" w:hAnsiTheme="majorHAnsi"/>
          <w:lang w:val="en-US"/>
        </w:rPr>
        <w:t xml:space="preserve"> to the rule according to which treat</w:t>
      </w:r>
      <w:r w:rsidR="00F41ADA">
        <w:rPr>
          <w:rFonts w:asciiTheme="majorHAnsi" w:hAnsiTheme="majorHAnsi"/>
          <w:lang w:val="en-US"/>
        </w:rPr>
        <w:t>ies do not bind third States</w:t>
      </w:r>
      <w:r w:rsidR="00296075">
        <w:rPr>
          <w:rFonts w:asciiTheme="majorHAnsi" w:hAnsiTheme="majorHAnsi"/>
          <w:lang w:val="en-US"/>
        </w:rPr>
        <w:t xml:space="preserve">. </w:t>
      </w:r>
      <w:r w:rsidR="00943216">
        <w:rPr>
          <w:rFonts w:asciiTheme="majorHAnsi" w:hAnsiTheme="majorHAnsi"/>
          <w:lang w:val="en-US"/>
        </w:rPr>
        <w:t>However, the following requirements must be fulfilled for a treaty to give rise to an objective legal regime:</w:t>
      </w:r>
    </w:p>
    <w:p w:rsidR="00943216" w:rsidRDefault="00B0245A" w:rsidP="005107BC">
      <w:pPr>
        <w:pStyle w:val="Paragrafoelenco"/>
        <w:numPr>
          <w:ilvl w:val="0"/>
          <w:numId w:val="4"/>
        </w:numPr>
        <w:jc w:val="both"/>
        <w:rPr>
          <w:rFonts w:asciiTheme="majorHAnsi" w:hAnsiTheme="majorHAnsi"/>
          <w:lang w:val="en-US"/>
        </w:rPr>
      </w:pPr>
      <w:r>
        <w:rPr>
          <w:rFonts w:asciiTheme="majorHAnsi" w:hAnsiTheme="majorHAnsi"/>
          <w:lang w:val="en-US"/>
        </w:rPr>
        <w:lastRenderedPageBreak/>
        <w:t>the treaty aims at</w:t>
      </w:r>
      <w:r w:rsidR="00943216">
        <w:rPr>
          <w:rFonts w:asciiTheme="majorHAnsi" w:hAnsiTheme="majorHAnsi"/>
          <w:lang w:val="en-US"/>
        </w:rPr>
        <w:t xml:space="preserve"> the collective management of areas or spaces that are not subject to State sovereignty (e.g. the Antarcti</w:t>
      </w:r>
      <w:r w:rsidR="000D3272">
        <w:rPr>
          <w:rFonts w:asciiTheme="majorHAnsi" w:hAnsiTheme="majorHAnsi"/>
          <w:lang w:val="en-US"/>
        </w:rPr>
        <w:t>c</w:t>
      </w:r>
      <w:r w:rsidR="00943216">
        <w:rPr>
          <w:rFonts w:asciiTheme="majorHAnsi" w:hAnsiTheme="majorHAnsi"/>
          <w:lang w:val="en-US"/>
        </w:rPr>
        <w:t>);</w:t>
      </w:r>
    </w:p>
    <w:p w:rsidR="00943216" w:rsidRDefault="00943216" w:rsidP="005107BC">
      <w:pPr>
        <w:pStyle w:val="Paragrafoelenco"/>
        <w:numPr>
          <w:ilvl w:val="0"/>
          <w:numId w:val="4"/>
        </w:numPr>
        <w:jc w:val="both"/>
        <w:rPr>
          <w:rFonts w:asciiTheme="majorHAnsi" w:hAnsiTheme="majorHAnsi"/>
          <w:lang w:val="en-US"/>
        </w:rPr>
      </w:pPr>
      <w:r>
        <w:rPr>
          <w:rFonts w:asciiTheme="majorHAnsi" w:hAnsiTheme="majorHAnsi"/>
          <w:lang w:val="en-US"/>
        </w:rPr>
        <w:t>all the key/authoritative States concerned are parties to the treaty and are capable to impose the conventional regime upon third States.</w:t>
      </w:r>
    </w:p>
    <w:p w:rsidR="0008535D" w:rsidRDefault="0008535D" w:rsidP="0008535D">
      <w:pPr>
        <w:pStyle w:val="Paragrafoelenco"/>
        <w:jc w:val="both"/>
        <w:rPr>
          <w:rFonts w:asciiTheme="majorHAnsi" w:hAnsiTheme="majorHAnsi"/>
          <w:lang w:val="en-US"/>
        </w:rPr>
      </w:pPr>
    </w:p>
    <w:p w:rsidR="0008535D" w:rsidRPr="00280394" w:rsidRDefault="0008535D" w:rsidP="0008535D">
      <w:pPr>
        <w:pStyle w:val="Paragrafoelenco"/>
        <w:numPr>
          <w:ilvl w:val="0"/>
          <w:numId w:val="3"/>
        </w:numPr>
        <w:jc w:val="both"/>
        <w:rPr>
          <w:rFonts w:asciiTheme="majorHAnsi" w:hAnsiTheme="majorHAnsi"/>
          <w:u w:val="single"/>
          <w:lang w:val="en-US"/>
        </w:rPr>
      </w:pPr>
      <w:r w:rsidRPr="00280394">
        <w:rPr>
          <w:rFonts w:asciiTheme="majorHAnsi" w:hAnsiTheme="majorHAnsi"/>
          <w:u w:val="single"/>
          <w:lang w:val="en-US"/>
        </w:rPr>
        <w:t>Difference between reprisals and countermeasures</w:t>
      </w:r>
    </w:p>
    <w:p w:rsidR="0008535D" w:rsidRPr="00280394" w:rsidRDefault="0008535D" w:rsidP="0008535D">
      <w:pPr>
        <w:jc w:val="both"/>
        <w:rPr>
          <w:rFonts w:asciiTheme="majorHAnsi" w:hAnsiTheme="majorHAnsi"/>
          <w:lang w:val="en-US"/>
        </w:rPr>
      </w:pPr>
      <w:r w:rsidRPr="00280394">
        <w:rPr>
          <w:rFonts w:asciiTheme="majorHAnsi" w:hAnsiTheme="majorHAnsi"/>
          <w:lang w:val="en-US"/>
        </w:rPr>
        <w:t>The termination by a State of a treaty which has been seriously violated by another State party constitutes a countermeasure, i.e. an act which would be in itsel</w:t>
      </w:r>
      <w:r w:rsidR="00BB1C9C">
        <w:rPr>
          <w:rFonts w:asciiTheme="majorHAnsi" w:hAnsiTheme="majorHAnsi"/>
          <w:lang w:val="en-US"/>
        </w:rPr>
        <w:t xml:space="preserve">f illegal and has been adopted </w:t>
      </w:r>
      <w:r w:rsidRPr="00280394">
        <w:rPr>
          <w:rFonts w:asciiTheme="majorHAnsi" w:hAnsiTheme="majorHAnsi"/>
          <w:lang w:val="en-US"/>
        </w:rPr>
        <w:t>by one State in retaliation for the commission of an earlier il</w:t>
      </w:r>
      <w:r w:rsidR="00BB1C9C">
        <w:rPr>
          <w:rFonts w:asciiTheme="majorHAnsi" w:hAnsiTheme="majorHAnsi"/>
          <w:lang w:val="en-US"/>
        </w:rPr>
        <w:t>legal act by another State (textbook, p. 601</w:t>
      </w:r>
      <w:r w:rsidRPr="00280394">
        <w:rPr>
          <w:rFonts w:asciiTheme="majorHAnsi" w:hAnsiTheme="majorHAnsi"/>
          <w:lang w:val="en-US"/>
        </w:rPr>
        <w:t xml:space="preserve">). Therefore, reprisals short of force are now termed “countermeasures” whereas reprisals </w:t>
      </w:r>
      <w:proofErr w:type="spellStart"/>
      <w:r w:rsidRPr="00280394">
        <w:rPr>
          <w:rFonts w:asciiTheme="majorHAnsi" w:hAnsiTheme="majorHAnsi"/>
          <w:i/>
          <w:lang w:val="en-US"/>
        </w:rPr>
        <w:t>stricto</w:t>
      </w:r>
      <w:proofErr w:type="spellEnd"/>
      <w:r w:rsidRPr="00280394">
        <w:rPr>
          <w:rFonts w:asciiTheme="majorHAnsi" w:hAnsiTheme="majorHAnsi"/>
          <w:i/>
          <w:lang w:val="en-US"/>
        </w:rPr>
        <w:t xml:space="preserve"> </w:t>
      </w:r>
      <w:proofErr w:type="spellStart"/>
      <w:r w:rsidRPr="00280394">
        <w:rPr>
          <w:rFonts w:asciiTheme="majorHAnsi" w:hAnsiTheme="majorHAnsi"/>
          <w:i/>
          <w:lang w:val="en-US"/>
        </w:rPr>
        <w:t>sensu</w:t>
      </w:r>
      <w:proofErr w:type="spellEnd"/>
      <w:r w:rsidRPr="00280394">
        <w:rPr>
          <w:rFonts w:asciiTheme="majorHAnsi" w:hAnsiTheme="majorHAnsi"/>
          <w:lang w:val="en-US"/>
        </w:rPr>
        <w:t>, i.e. involving armed force during peacetime, are unlawful (</w:t>
      </w:r>
      <w:proofErr w:type="spellStart"/>
      <w:r w:rsidRPr="00280394">
        <w:rPr>
          <w:rFonts w:asciiTheme="majorHAnsi" w:hAnsiTheme="majorHAnsi"/>
          <w:i/>
          <w:lang w:val="en-US"/>
        </w:rPr>
        <w:t>ibidem</w:t>
      </w:r>
      <w:proofErr w:type="spellEnd"/>
      <w:r w:rsidRPr="00280394">
        <w:rPr>
          <w:rFonts w:asciiTheme="majorHAnsi" w:hAnsiTheme="majorHAnsi"/>
          <w:lang w:val="en-US"/>
        </w:rPr>
        <w:t>). Consequently, the second sentence of the paragraph “Material breach</w:t>
      </w:r>
      <w:r w:rsidR="000C176D">
        <w:rPr>
          <w:rFonts w:asciiTheme="majorHAnsi" w:hAnsiTheme="majorHAnsi"/>
          <w:lang w:val="en-US"/>
        </w:rPr>
        <w:t>” at p. 717</w:t>
      </w:r>
      <w:r w:rsidR="00051A90">
        <w:rPr>
          <w:rFonts w:asciiTheme="majorHAnsi" w:hAnsiTheme="majorHAnsi"/>
          <w:lang w:val="en-US"/>
        </w:rPr>
        <w:t xml:space="preserve"> of the textbook</w:t>
      </w:r>
      <w:r w:rsidR="00BB1C9C">
        <w:rPr>
          <w:rFonts w:asciiTheme="majorHAnsi" w:hAnsiTheme="majorHAnsi"/>
          <w:lang w:val="en-US"/>
        </w:rPr>
        <w:t xml:space="preserve"> (and also, </w:t>
      </w:r>
      <w:r w:rsidR="00BB1C9C" w:rsidRPr="00BB1C9C">
        <w:rPr>
          <w:rFonts w:asciiTheme="majorHAnsi" w:hAnsiTheme="majorHAnsi"/>
          <w:i/>
          <w:lang w:val="en-US"/>
        </w:rPr>
        <w:t>mutatis mutandis</w:t>
      </w:r>
      <w:r w:rsidR="00BB1C9C">
        <w:rPr>
          <w:rFonts w:asciiTheme="majorHAnsi" w:hAnsiTheme="majorHAnsi"/>
          <w:lang w:val="en-US"/>
        </w:rPr>
        <w:t>, p. 859)</w:t>
      </w:r>
      <w:r w:rsidR="00051A90">
        <w:rPr>
          <w:rFonts w:asciiTheme="majorHAnsi" w:hAnsiTheme="majorHAnsi"/>
          <w:lang w:val="en-US"/>
        </w:rPr>
        <w:t xml:space="preserve"> should</w:t>
      </w:r>
      <w:r w:rsidRPr="00280394">
        <w:rPr>
          <w:rFonts w:asciiTheme="majorHAnsi" w:hAnsiTheme="majorHAnsi"/>
          <w:lang w:val="en-US"/>
        </w:rPr>
        <w:t xml:space="preserve"> be read in the sense that the above-mentioned situation (termination of a treaty as a retaliation/reaction to a serious breach of that treaty) is strictly speaking a countermeasure </w:t>
      </w:r>
      <w:r w:rsidRPr="00280394">
        <w:rPr>
          <w:rFonts w:asciiTheme="majorHAnsi" w:hAnsiTheme="majorHAnsi"/>
          <w:u w:val="single"/>
          <w:lang w:val="en-US"/>
        </w:rPr>
        <w:t>and not</w:t>
      </w:r>
      <w:r w:rsidRPr="00280394">
        <w:rPr>
          <w:rFonts w:asciiTheme="majorHAnsi" w:hAnsiTheme="majorHAnsi"/>
          <w:lang w:val="en-US"/>
        </w:rPr>
        <w:t xml:space="preserve"> “a reprisal or countermeasure”.</w:t>
      </w:r>
    </w:p>
    <w:p w:rsidR="000C4F85" w:rsidRPr="0008535D" w:rsidRDefault="00B0331C"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 xml:space="preserve">Liability of member States of </w:t>
      </w:r>
      <w:r w:rsidR="005107BC" w:rsidRPr="0008535D">
        <w:rPr>
          <w:rFonts w:asciiTheme="majorHAnsi" w:hAnsiTheme="majorHAnsi"/>
          <w:u w:val="single"/>
          <w:lang w:val="en-US"/>
        </w:rPr>
        <w:t>international organiz</w:t>
      </w:r>
      <w:r w:rsidR="005B2198" w:rsidRPr="0008535D">
        <w:rPr>
          <w:rFonts w:asciiTheme="majorHAnsi" w:hAnsiTheme="majorHAnsi"/>
          <w:u w:val="single"/>
          <w:lang w:val="en-US"/>
        </w:rPr>
        <w:t>ations</w:t>
      </w:r>
    </w:p>
    <w:p w:rsidR="000C4F85" w:rsidRDefault="00C50E74" w:rsidP="005107BC">
      <w:pPr>
        <w:jc w:val="both"/>
        <w:rPr>
          <w:rFonts w:asciiTheme="majorHAnsi" w:hAnsiTheme="majorHAnsi"/>
          <w:lang w:val="en-US"/>
        </w:rPr>
      </w:pPr>
      <w:r>
        <w:rPr>
          <w:rFonts w:asciiTheme="majorHAnsi" w:hAnsiTheme="majorHAnsi"/>
          <w:lang w:val="en-US"/>
        </w:rPr>
        <w:t xml:space="preserve">Liability of member States of international organizations </w:t>
      </w:r>
      <w:r w:rsidR="00B70153">
        <w:rPr>
          <w:rFonts w:asciiTheme="majorHAnsi" w:hAnsiTheme="majorHAnsi"/>
          <w:lang w:val="en-US"/>
        </w:rPr>
        <w:t>exists</w:t>
      </w:r>
      <w:r w:rsidR="005B2198">
        <w:rPr>
          <w:rFonts w:asciiTheme="majorHAnsi" w:hAnsiTheme="majorHAnsi"/>
          <w:lang w:val="en-US"/>
        </w:rPr>
        <w:t xml:space="preserve"> in particular</w:t>
      </w:r>
      <w:r w:rsidR="00B70153">
        <w:rPr>
          <w:rFonts w:asciiTheme="majorHAnsi" w:hAnsiTheme="majorHAnsi"/>
          <w:lang w:val="en-US"/>
        </w:rPr>
        <w:t xml:space="preserve"> in the following cases</w:t>
      </w:r>
      <w:r w:rsidR="00411683">
        <w:rPr>
          <w:rFonts w:asciiTheme="majorHAnsi" w:hAnsiTheme="majorHAnsi"/>
          <w:lang w:val="en-US"/>
        </w:rPr>
        <w:t xml:space="preserve"> (these</w:t>
      </w:r>
      <w:r w:rsidR="005B2198">
        <w:rPr>
          <w:rFonts w:asciiTheme="majorHAnsi" w:hAnsiTheme="majorHAnsi"/>
          <w:lang w:val="en-US"/>
        </w:rPr>
        <w:t xml:space="preserve"> complete the situations referred to at pp. </w:t>
      </w:r>
      <w:r w:rsidR="004B436C">
        <w:rPr>
          <w:rFonts w:asciiTheme="majorHAnsi" w:hAnsiTheme="majorHAnsi"/>
          <w:lang w:val="en-US"/>
        </w:rPr>
        <w:t>1004-1006</w:t>
      </w:r>
      <w:r w:rsidR="005B2198">
        <w:rPr>
          <w:rFonts w:asciiTheme="majorHAnsi" w:hAnsiTheme="majorHAnsi"/>
          <w:lang w:val="en-US"/>
        </w:rPr>
        <w:t xml:space="preserve"> of the textbook)</w:t>
      </w:r>
      <w:r w:rsidR="00B70153">
        <w:rPr>
          <w:rFonts w:asciiTheme="majorHAnsi" w:hAnsiTheme="majorHAnsi"/>
          <w:lang w:val="en-US"/>
        </w:rPr>
        <w:t>:</w:t>
      </w:r>
    </w:p>
    <w:p w:rsidR="00B70153" w:rsidRDefault="00B70153" w:rsidP="005107BC">
      <w:pPr>
        <w:pStyle w:val="Paragrafoelenco"/>
        <w:numPr>
          <w:ilvl w:val="0"/>
          <w:numId w:val="5"/>
        </w:numPr>
        <w:jc w:val="both"/>
        <w:rPr>
          <w:rFonts w:asciiTheme="majorHAnsi" w:hAnsiTheme="majorHAnsi"/>
          <w:lang w:val="en-US"/>
        </w:rPr>
      </w:pPr>
      <w:r>
        <w:rPr>
          <w:rFonts w:asciiTheme="majorHAnsi" w:hAnsiTheme="majorHAnsi"/>
          <w:lang w:val="en-US"/>
        </w:rPr>
        <w:t>if the organization does not have legal personality (in this case responsibility lies only with member States);</w:t>
      </w:r>
    </w:p>
    <w:p w:rsidR="00B70153" w:rsidRDefault="00552AC5" w:rsidP="005107BC">
      <w:pPr>
        <w:pStyle w:val="Paragrafoelenco"/>
        <w:numPr>
          <w:ilvl w:val="0"/>
          <w:numId w:val="5"/>
        </w:numPr>
        <w:jc w:val="both"/>
        <w:rPr>
          <w:rFonts w:asciiTheme="majorHAnsi" w:hAnsiTheme="majorHAnsi"/>
          <w:lang w:val="en-US"/>
        </w:rPr>
      </w:pPr>
      <w:r>
        <w:rPr>
          <w:rFonts w:asciiTheme="majorHAnsi" w:hAnsiTheme="majorHAnsi"/>
          <w:lang w:val="en-US"/>
        </w:rPr>
        <w:t xml:space="preserve">the constituent instrument of the </w:t>
      </w:r>
      <w:proofErr w:type="spellStart"/>
      <w:r>
        <w:rPr>
          <w:rFonts w:asciiTheme="majorHAnsi" w:hAnsiTheme="majorHAnsi"/>
          <w:lang w:val="en-US"/>
        </w:rPr>
        <w:t>organisation</w:t>
      </w:r>
      <w:proofErr w:type="spellEnd"/>
      <w:r w:rsidR="008B0211">
        <w:rPr>
          <w:rFonts w:asciiTheme="majorHAnsi" w:hAnsiTheme="majorHAnsi"/>
          <w:lang w:val="en-US"/>
        </w:rPr>
        <w:t xml:space="preserve"> or another treaty</w:t>
      </w:r>
      <w:r w:rsidR="00B70153">
        <w:rPr>
          <w:rFonts w:asciiTheme="majorHAnsi" w:hAnsiTheme="majorHAnsi"/>
          <w:lang w:val="en-US"/>
        </w:rPr>
        <w:t xml:space="preserve"> expressly</w:t>
      </w:r>
      <w:r w:rsidR="008B0211">
        <w:rPr>
          <w:rFonts w:asciiTheme="majorHAnsi" w:hAnsiTheme="majorHAnsi"/>
          <w:lang w:val="en-US"/>
        </w:rPr>
        <w:t xml:space="preserve"> provide</w:t>
      </w:r>
      <w:r w:rsidR="00B70153">
        <w:rPr>
          <w:rFonts w:asciiTheme="majorHAnsi" w:hAnsiTheme="majorHAnsi"/>
          <w:lang w:val="en-US"/>
        </w:rPr>
        <w:t xml:space="preserve"> for joint and several liab</w:t>
      </w:r>
      <w:r>
        <w:rPr>
          <w:rFonts w:asciiTheme="majorHAnsi" w:hAnsiTheme="majorHAnsi"/>
          <w:lang w:val="en-US"/>
        </w:rPr>
        <w:t>ility of member States</w:t>
      </w:r>
      <w:r w:rsidR="008B0211">
        <w:rPr>
          <w:rFonts w:asciiTheme="majorHAnsi" w:hAnsiTheme="majorHAnsi"/>
          <w:lang w:val="en-US"/>
        </w:rPr>
        <w:t xml:space="preserve"> (see e.g. Article VI of the Treaty on Principles Governing the Activities of States in the Exploration and Use of Outer Space, including the Moon and Other Celest</w:t>
      </w:r>
      <w:r w:rsidR="00CE4254">
        <w:rPr>
          <w:rFonts w:asciiTheme="majorHAnsi" w:hAnsiTheme="majorHAnsi"/>
          <w:lang w:val="en-US"/>
        </w:rPr>
        <w:t>ial Bodies, p. 406</w:t>
      </w:r>
      <w:r w:rsidR="008B0211">
        <w:rPr>
          <w:rFonts w:asciiTheme="majorHAnsi" w:hAnsiTheme="majorHAnsi"/>
          <w:lang w:val="en-US"/>
        </w:rPr>
        <w:t xml:space="preserve"> of the textbook)</w:t>
      </w:r>
      <w:r>
        <w:rPr>
          <w:rFonts w:asciiTheme="majorHAnsi" w:hAnsiTheme="majorHAnsi"/>
          <w:lang w:val="en-US"/>
        </w:rPr>
        <w:t>;</w:t>
      </w:r>
    </w:p>
    <w:p w:rsidR="00B70153" w:rsidRPr="00316B98" w:rsidRDefault="00B70153" w:rsidP="004B436C">
      <w:pPr>
        <w:pStyle w:val="Paragrafoelenco"/>
        <w:numPr>
          <w:ilvl w:val="0"/>
          <w:numId w:val="5"/>
        </w:numPr>
        <w:jc w:val="both"/>
        <w:rPr>
          <w:rFonts w:asciiTheme="majorHAnsi" w:hAnsiTheme="majorHAnsi"/>
          <w:lang w:val="en-US"/>
        </w:rPr>
      </w:pPr>
      <w:r>
        <w:rPr>
          <w:rFonts w:asciiTheme="majorHAnsi" w:hAnsiTheme="majorHAnsi"/>
          <w:lang w:val="en-US"/>
        </w:rPr>
        <w:t xml:space="preserve">individual </w:t>
      </w:r>
      <w:r w:rsidR="00B0245A">
        <w:rPr>
          <w:rFonts w:asciiTheme="majorHAnsi" w:hAnsiTheme="majorHAnsi"/>
          <w:lang w:val="en-US"/>
        </w:rPr>
        <w:t xml:space="preserve">State </w:t>
      </w:r>
      <w:r>
        <w:rPr>
          <w:rFonts w:asciiTheme="majorHAnsi" w:hAnsiTheme="majorHAnsi"/>
          <w:lang w:val="en-US"/>
        </w:rPr>
        <w:t>responsibility at the level of a regional institutional system (typically the European Union or the system of the European Convention of Human Rights) in case the member State of the regional system is deemed to have violated fundamental principles of the regional system when implementing obligations resulting in particular from its</w:t>
      </w:r>
      <w:r w:rsidR="00F66EA6">
        <w:rPr>
          <w:rFonts w:asciiTheme="majorHAnsi" w:hAnsiTheme="majorHAnsi"/>
          <w:lang w:val="en-US"/>
        </w:rPr>
        <w:t xml:space="preserve"> United Nations membership (</w:t>
      </w:r>
      <w:r>
        <w:rPr>
          <w:rFonts w:asciiTheme="majorHAnsi" w:hAnsiTheme="majorHAnsi"/>
          <w:lang w:val="en-US"/>
        </w:rPr>
        <w:t xml:space="preserve">in this regard </w:t>
      </w:r>
      <w:r w:rsidR="00F66EA6">
        <w:rPr>
          <w:rFonts w:asciiTheme="majorHAnsi" w:hAnsiTheme="majorHAnsi"/>
          <w:lang w:val="en-US"/>
        </w:rPr>
        <w:t xml:space="preserve">see especially </w:t>
      </w:r>
      <w:r>
        <w:rPr>
          <w:rFonts w:asciiTheme="majorHAnsi" w:hAnsiTheme="majorHAnsi"/>
          <w:lang w:val="en-US"/>
        </w:rPr>
        <w:t xml:space="preserve">the </w:t>
      </w:r>
      <w:proofErr w:type="spellStart"/>
      <w:r w:rsidRPr="00B70153">
        <w:rPr>
          <w:rFonts w:asciiTheme="majorHAnsi" w:hAnsiTheme="majorHAnsi"/>
          <w:i/>
          <w:lang w:val="en-US"/>
        </w:rPr>
        <w:t>Kadi</w:t>
      </w:r>
      <w:proofErr w:type="spellEnd"/>
      <w:r>
        <w:rPr>
          <w:rFonts w:asciiTheme="majorHAnsi" w:hAnsiTheme="majorHAnsi"/>
          <w:lang w:val="en-US"/>
        </w:rPr>
        <w:t xml:space="preserve"> case-law of the Court o</w:t>
      </w:r>
      <w:r w:rsidR="00F66EA6">
        <w:rPr>
          <w:rFonts w:asciiTheme="majorHAnsi" w:hAnsiTheme="majorHAnsi"/>
          <w:lang w:val="en-US"/>
        </w:rPr>
        <w:t>f</w:t>
      </w:r>
      <w:r w:rsidR="004B436C">
        <w:rPr>
          <w:rFonts w:asciiTheme="majorHAnsi" w:hAnsiTheme="majorHAnsi"/>
          <w:lang w:val="en-US"/>
        </w:rPr>
        <w:t xml:space="preserve"> Justice of the European Union </w:t>
      </w:r>
      <w:r w:rsidR="00F66EA6" w:rsidRPr="00316B98">
        <w:rPr>
          <w:rFonts w:asciiTheme="majorHAnsi" w:hAnsiTheme="majorHAnsi"/>
          <w:lang w:val="en-US"/>
        </w:rPr>
        <w:t xml:space="preserve">and the European Court of Human Rights’ </w:t>
      </w:r>
      <w:r w:rsidR="00F66EA6" w:rsidRPr="00316B98">
        <w:rPr>
          <w:rFonts w:asciiTheme="majorHAnsi" w:hAnsiTheme="majorHAnsi"/>
          <w:i/>
          <w:lang w:val="en-US"/>
        </w:rPr>
        <w:t>Al-</w:t>
      </w:r>
      <w:proofErr w:type="spellStart"/>
      <w:r w:rsidR="00F66EA6" w:rsidRPr="00316B98">
        <w:rPr>
          <w:rFonts w:asciiTheme="majorHAnsi" w:hAnsiTheme="majorHAnsi"/>
          <w:i/>
          <w:lang w:val="en-US"/>
        </w:rPr>
        <w:t>Dulimi</w:t>
      </w:r>
      <w:proofErr w:type="spellEnd"/>
      <w:r w:rsidR="005E5DF3" w:rsidRPr="00316B98">
        <w:rPr>
          <w:rFonts w:asciiTheme="majorHAnsi" w:hAnsiTheme="majorHAnsi"/>
          <w:i/>
          <w:lang w:val="en-US"/>
        </w:rPr>
        <w:t xml:space="preserve"> and Montana Management Inc.</w:t>
      </w:r>
      <w:r w:rsidR="00F66EA6" w:rsidRPr="00316B98">
        <w:rPr>
          <w:rFonts w:asciiTheme="majorHAnsi" w:hAnsiTheme="majorHAnsi"/>
          <w:i/>
          <w:lang w:val="en-US"/>
        </w:rPr>
        <w:t xml:space="preserve"> v. Switzerland</w:t>
      </w:r>
      <w:r w:rsidR="00F66EA6" w:rsidRPr="00316B98">
        <w:rPr>
          <w:rFonts w:asciiTheme="majorHAnsi" w:hAnsiTheme="majorHAnsi"/>
          <w:lang w:val="en-US"/>
        </w:rPr>
        <w:t xml:space="preserve"> judgment of 21</w:t>
      </w:r>
      <w:r w:rsidR="00F66EA6" w:rsidRPr="00316B98">
        <w:rPr>
          <w:rFonts w:asciiTheme="majorHAnsi" w:hAnsiTheme="majorHAnsi"/>
          <w:vertAlign w:val="superscript"/>
          <w:lang w:val="en-US"/>
        </w:rPr>
        <w:t>st</w:t>
      </w:r>
      <w:r w:rsidR="00F66EA6" w:rsidRPr="00316B98">
        <w:rPr>
          <w:rFonts w:asciiTheme="majorHAnsi" w:hAnsiTheme="majorHAnsi"/>
          <w:lang w:val="en-US"/>
        </w:rPr>
        <w:t xml:space="preserve"> June 2016, paras.</w:t>
      </w:r>
      <w:r w:rsidR="005E5DF3" w:rsidRPr="00316B98">
        <w:rPr>
          <w:rFonts w:asciiTheme="majorHAnsi" w:hAnsiTheme="majorHAnsi"/>
          <w:lang w:val="en-US"/>
        </w:rPr>
        <w:t xml:space="preserve"> 137-149</w:t>
      </w:r>
      <w:r w:rsidR="004B436C">
        <w:rPr>
          <w:rFonts w:asciiTheme="majorHAnsi" w:hAnsiTheme="majorHAnsi"/>
          <w:lang w:val="en-US"/>
        </w:rPr>
        <w:t xml:space="preserve">; </w:t>
      </w:r>
      <w:r w:rsidR="004B436C" w:rsidRPr="004B436C">
        <w:rPr>
          <w:rFonts w:asciiTheme="majorHAnsi" w:hAnsiTheme="majorHAnsi"/>
          <w:lang w:val="en-US"/>
        </w:rPr>
        <w:t>p. 957 of the textbook, footnote</w:t>
      </w:r>
      <w:r w:rsidR="004B436C">
        <w:rPr>
          <w:rFonts w:asciiTheme="majorHAnsi" w:hAnsiTheme="majorHAnsi"/>
          <w:lang w:val="en-US"/>
        </w:rPr>
        <w:t>s</w:t>
      </w:r>
      <w:r w:rsidR="004B436C" w:rsidRPr="004B436C">
        <w:rPr>
          <w:rFonts w:asciiTheme="majorHAnsi" w:hAnsiTheme="majorHAnsi"/>
          <w:lang w:val="en-US"/>
        </w:rPr>
        <w:t xml:space="preserve"> no</w:t>
      </w:r>
      <w:r w:rsidR="004B436C">
        <w:rPr>
          <w:rFonts w:asciiTheme="majorHAnsi" w:hAnsiTheme="majorHAnsi"/>
          <w:lang w:val="en-US"/>
        </w:rPr>
        <w:t>s</w:t>
      </w:r>
      <w:r w:rsidR="004B436C" w:rsidRPr="004B436C">
        <w:rPr>
          <w:rFonts w:asciiTheme="majorHAnsi" w:hAnsiTheme="majorHAnsi"/>
          <w:lang w:val="en-US"/>
        </w:rPr>
        <w:t>. 232</w:t>
      </w:r>
      <w:r w:rsidR="004B436C">
        <w:rPr>
          <w:rFonts w:asciiTheme="majorHAnsi" w:hAnsiTheme="majorHAnsi"/>
          <w:lang w:val="en-US"/>
        </w:rPr>
        <w:t>-233</w:t>
      </w:r>
      <w:r w:rsidRPr="00316B98">
        <w:rPr>
          <w:rFonts w:asciiTheme="majorHAnsi" w:hAnsiTheme="majorHAnsi"/>
          <w:lang w:val="en-US"/>
        </w:rPr>
        <w:t>);</w:t>
      </w:r>
    </w:p>
    <w:p w:rsidR="004249A1" w:rsidRPr="00BD711F" w:rsidRDefault="00BA3366" w:rsidP="00BD711F">
      <w:pPr>
        <w:pStyle w:val="Paragrafoelenco"/>
        <w:numPr>
          <w:ilvl w:val="0"/>
          <w:numId w:val="5"/>
        </w:numPr>
        <w:jc w:val="both"/>
        <w:rPr>
          <w:rFonts w:asciiTheme="majorHAnsi" w:hAnsiTheme="majorHAnsi"/>
          <w:lang w:val="en-US"/>
        </w:rPr>
      </w:pPr>
      <w:r>
        <w:rPr>
          <w:rFonts w:asciiTheme="majorHAnsi" w:hAnsiTheme="majorHAnsi"/>
          <w:lang w:val="en-US"/>
        </w:rPr>
        <w:t>when the member State acts together an international organization in the commission of an unlawful act</w:t>
      </w:r>
      <w:r w:rsidR="00293045">
        <w:rPr>
          <w:rFonts w:asciiTheme="majorHAnsi" w:hAnsiTheme="majorHAnsi"/>
          <w:lang w:val="en-US"/>
        </w:rPr>
        <w:t xml:space="preserve"> (</w:t>
      </w:r>
      <w:r w:rsidR="00293045" w:rsidRPr="00316B98">
        <w:rPr>
          <w:rFonts w:asciiTheme="majorHAnsi" w:hAnsiTheme="majorHAnsi"/>
          <w:i/>
          <w:lang w:val="en-US"/>
        </w:rPr>
        <w:t>shared responsibility</w:t>
      </w:r>
      <w:r w:rsidR="00293045">
        <w:rPr>
          <w:rFonts w:asciiTheme="majorHAnsi" w:hAnsiTheme="majorHAnsi"/>
          <w:lang w:val="en-US"/>
        </w:rPr>
        <w:t>)</w:t>
      </w:r>
      <w:r>
        <w:rPr>
          <w:rFonts w:asciiTheme="majorHAnsi" w:hAnsiTheme="majorHAnsi"/>
          <w:lang w:val="en-US"/>
        </w:rPr>
        <w:t xml:space="preserve">: </w:t>
      </w:r>
      <w:r w:rsidR="002F760A">
        <w:rPr>
          <w:rFonts w:asciiTheme="majorHAnsi" w:hAnsiTheme="majorHAnsi"/>
          <w:lang w:val="en-US"/>
        </w:rPr>
        <w:t>this also concerns those situations</w:t>
      </w:r>
      <w:r w:rsidR="00B0245A">
        <w:rPr>
          <w:rFonts w:asciiTheme="majorHAnsi" w:hAnsiTheme="majorHAnsi"/>
          <w:lang w:val="en-US"/>
        </w:rPr>
        <w:t xml:space="preserve"> where the member State retains</w:t>
      </w:r>
      <w:r w:rsidR="002F760A">
        <w:rPr>
          <w:rFonts w:asciiTheme="majorHAnsi" w:hAnsiTheme="majorHAnsi"/>
          <w:lang w:val="en-US"/>
        </w:rPr>
        <w:t xml:space="preserve"> </w:t>
      </w:r>
      <w:r w:rsidR="002F760A" w:rsidRPr="00B0245A">
        <w:rPr>
          <w:rFonts w:asciiTheme="majorHAnsi" w:hAnsiTheme="majorHAnsi"/>
          <w:i/>
          <w:lang w:val="en-US"/>
        </w:rPr>
        <w:t>effective control</w:t>
      </w:r>
      <w:r w:rsidR="002F760A">
        <w:rPr>
          <w:rFonts w:asciiTheme="majorHAnsi" w:hAnsiTheme="majorHAnsi"/>
          <w:lang w:val="en-US"/>
        </w:rPr>
        <w:t xml:space="preserve"> over </w:t>
      </w:r>
      <w:r w:rsidR="00B0245A">
        <w:rPr>
          <w:rFonts w:asciiTheme="majorHAnsi" w:hAnsiTheme="majorHAnsi"/>
          <w:lang w:val="en-US"/>
        </w:rPr>
        <w:t>the national contingent that is</w:t>
      </w:r>
      <w:r w:rsidR="002F760A">
        <w:rPr>
          <w:rFonts w:asciiTheme="majorHAnsi" w:hAnsiTheme="majorHAnsi"/>
          <w:lang w:val="en-US"/>
        </w:rPr>
        <w:t xml:space="preserve"> put at the disposal of the international organization, as was the case of the Dutch contingent operating within the UN-led peacekeepin</w:t>
      </w:r>
      <w:r w:rsidR="00B0245A">
        <w:rPr>
          <w:rFonts w:asciiTheme="majorHAnsi" w:hAnsiTheme="majorHAnsi"/>
          <w:lang w:val="en-US"/>
        </w:rPr>
        <w:t>g mission in Bosnia during the Srebrenica events of July 1995,</w:t>
      </w:r>
      <w:r w:rsidR="002F760A">
        <w:rPr>
          <w:rFonts w:asciiTheme="majorHAnsi" w:hAnsiTheme="majorHAnsi"/>
          <w:lang w:val="en-US"/>
        </w:rPr>
        <w:t xml:space="preserve"> according to the important judgment by the Dutch Supreme Court of </w:t>
      </w:r>
      <w:r w:rsidR="00F0303D">
        <w:rPr>
          <w:rFonts w:asciiTheme="majorHAnsi" w:hAnsiTheme="majorHAnsi"/>
          <w:lang w:val="en-US"/>
        </w:rPr>
        <w:t>6 September 2013</w:t>
      </w:r>
      <w:r w:rsidR="002F760A">
        <w:rPr>
          <w:rFonts w:asciiTheme="majorHAnsi" w:hAnsiTheme="majorHAnsi"/>
          <w:lang w:val="en-US"/>
        </w:rPr>
        <w:t xml:space="preserve"> (</w:t>
      </w:r>
      <w:proofErr w:type="spellStart"/>
      <w:r w:rsidR="002F760A" w:rsidRPr="00DF0AC1">
        <w:rPr>
          <w:rFonts w:asciiTheme="majorHAnsi" w:hAnsiTheme="majorHAnsi"/>
          <w:i/>
          <w:lang w:val="en-US"/>
        </w:rPr>
        <w:t>Nuhanović</w:t>
      </w:r>
      <w:proofErr w:type="spellEnd"/>
      <w:r w:rsidR="00F0303D" w:rsidRPr="00DF0AC1">
        <w:rPr>
          <w:rFonts w:asciiTheme="majorHAnsi" w:hAnsiTheme="majorHAnsi"/>
          <w:i/>
          <w:lang w:val="en-US"/>
        </w:rPr>
        <w:t xml:space="preserve"> and Others v. the Dutch State</w:t>
      </w:r>
      <w:r w:rsidR="004B436C">
        <w:rPr>
          <w:rFonts w:asciiTheme="majorHAnsi" w:hAnsiTheme="majorHAnsi"/>
          <w:lang w:val="en-US"/>
        </w:rPr>
        <w:t>; see also p. 596 of the textbook</w:t>
      </w:r>
      <w:r w:rsidR="00F0303D">
        <w:rPr>
          <w:rFonts w:asciiTheme="majorHAnsi" w:hAnsiTheme="majorHAnsi"/>
          <w:lang w:val="en-US"/>
        </w:rPr>
        <w:t>).</w:t>
      </w:r>
    </w:p>
    <w:p w:rsidR="00280394" w:rsidRPr="00B70153" w:rsidRDefault="00280394" w:rsidP="0008535D">
      <w:pPr>
        <w:pStyle w:val="Paragrafoelenco"/>
        <w:jc w:val="both"/>
        <w:rPr>
          <w:rFonts w:asciiTheme="majorHAnsi" w:hAnsiTheme="majorHAnsi"/>
          <w:lang w:val="en-US"/>
        </w:rPr>
      </w:pPr>
    </w:p>
    <w:p w:rsidR="00E04FF4" w:rsidRPr="0008535D" w:rsidRDefault="00EF3818"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Inquiry</w:t>
      </w:r>
    </w:p>
    <w:p w:rsidR="00A2411E" w:rsidRDefault="00EF3818" w:rsidP="005107BC">
      <w:pPr>
        <w:jc w:val="both"/>
        <w:rPr>
          <w:rFonts w:asciiTheme="majorHAnsi" w:hAnsiTheme="majorHAnsi"/>
          <w:lang w:val="en-US"/>
        </w:rPr>
      </w:pPr>
      <w:r w:rsidRPr="00EF3818">
        <w:rPr>
          <w:rFonts w:asciiTheme="majorHAnsi" w:hAnsiTheme="majorHAnsi"/>
          <w:lang w:val="en-US"/>
        </w:rPr>
        <w:t xml:space="preserve">Inquiry </w:t>
      </w:r>
      <w:r w:rsidR="00051A90">
        <w:rPr>
          <w:rFonts w:asciiTheme="majorHAnsi" w:hAnsiTheme="majorHAnsi"/>
          <w:lang w:val="en-US"/>
        </w:rPr>
        <w:t>could also be construed as</w:t>
      </w:r>
      <w:r w:rsidRPr="00EF3818">
        <w:rPr>
          <w:rFonts w:asciiTheme="majorHAnsi" w:hAnsiTheme="majorHAnsi"/>
          <w:lang w:val="en-US"/>
        </w:rPr>
        <w:t xml:space="preserve"> a complementary means for the settlement of disputes</w:t>
      </w:r>
      <w:r>
        <w:rPr>
          <w:rFonts w:asciiTheme="majorHAnsi" w:hAnsiTheme="majorHAnsi"/>
          <w:lang w:val="en-US"/>
        </w:rPr>
        <w:t>, which may serve both the political-diplomatic and the binding methods of dispute settlement. However, it may also play a specific function of its own</w:t>
      </w:r>
      <w:r w:rsidR="006F1A02">
        <w:rPr>
          <w:rFonts w:asciiTheme="majorHAnsi" w:hAnsiTheme="majorHAnsi"/>
          <w:lang w:val="en-US"/>
        </w:rPr>
        <w:t>: b</w:t>
      </w:r>
      <w:r>
        <w:rPr>
          <w:rFonts w:asciiTheme="majorHAnsi" w:hAnsiTheme="majorHAnsi"/>
          <w:lang w:val="en-US"/>
        </w:rPr>
        <w:t xml:space="preserve">y aiming specifically to establish the relevant facts, </w:t>
      </w:r>
      <w:r>
        <w:rPr>
          <w:rFonts w:asciiTheme="majorHAnsi" w:hAnsiTheme="majorHAnsi"/>
          <w:lang w:val="en-US"/>
        </w:rPr>
        <w:lastRenderedPageBreak/>
        <w:t>irrespective of any possible subsequent dispute settlement process</w:t>
      </w:r>
      <w:r w:rsidR="006F1A02">
        <w:rPr>
          <w:rFonts w:asciiTheme="majorHAnsi" w:hAnsiTheme="majorHAnsi"/>
          <w:lang w:val="en-US"/>
        </w:rPr>
        <w:t>,</w:t>
      </w:r>
      <w:r w:rsidR="00F42225">
        <w:rPr>
          <w:rFonts w:asciiTheme="majorHAnsi" w:hAnsiTheme="majorHAnsi"/>
          <w:lang w:val="en-US"/>
        </w:rPr>
        <w:t xml:space="preserve"> and by</w:t>
      </w:r>
      <w:r>
        <w:rPr>
          <w:rFonts w:asciiTheme="majorHAnsi" w:hAnsiTheme="majorHAnsi"/>
          <w:lang w:val="en-US"/>
        </w:rPr>
        <w:t xml:space="preserve"> clarify</w:t>
      </w:r>
      <w:r w:rsidR="00F42225">
        <w:rPr>
          <w:rFonts w:asciiTheme="majorHAnsi" w:hAnsiTheme="majorHAnsi"/>
          <w:lang w:val="en-US"/>
        </w:rPr>
        <w:t>ing</w:t>
      </w:r>
      <w:r>
        <w:rPr>
          <w:rFonts w:asciiTheme="majorHAnsi" w:hAnsiTheme="majorHAnsi"/>
          <w:lang w:val="en-US"/>
        </w:rPr>
        <w:t xml:space="preserve"> the </w:t>
      </w:r>
      <w:r w:rsidR="00F42225">
        <w:rPr>
          <w:rFonts w:asciiTheme="majorHAnsi" w:hAnsiTheme="majorHAnsi"/>
          <w:lang w:val="en-US"/>
        </w:rPr>
        <w:t xml:space="preserve">factual </w:t>
      </w:r>
      <w:r>
        <w:rPr>
          <w:rFonts w:asciiTheme="majorHAnsi" w:hAnsiTheme="majorHAnsi"/>
          <w:lang w:val="en-US"/>
        </w:rPr>
        <w:t>circumstances of a given event</w:t>
      </w:r>
      <w:r w:rsidR="00F42225">
        <w:rPr>
          <w:rFonts w:asciiTheme="majorHAnsi" w:hAnsiTheme="majorHAnsi"/>
          <w:lang w:val="en-US"/>
        </w:rPr>
        <w:t>, it contributes to a</w:t>
      </w:r>
      <w:r>
        <w:rPr>
          <w:rFonts w:asciiTheme="majorHAnsi" w:hAnsiTheme="majorHAnsi"/>
          <w:lang w:val="en-US"/>
        </w:rPr>
        <w:t xml:space="preserve"> </w:t>
      </w:r>
      <w:r w:rsidR="00A2411E">
        <w:rPr>
          <w:rFonts w:asciiTheme="majorHAnsi" w:hAnsiTheme="majorHAnsi"/>
          <w:lang w:val="en-US"/>
        </w:rPr>
        <w:t>more balanced/accurate assessment of the facts in the context of general po</w:t>
      </w:r>
      <w:r w:rsidR="004F69AE">
        <w:rPr>
          <w:rFonts w:asciiTheme="majorHAnsi" w:hAnsiTheme="majorHAnsi"/>
          <w:lang w:val="en-US"/>
        </w:rPr>
        <w:t>litical</w:t>
      </w:r>
      <w:r w:rsidR="00D676F3">
        <w:rPr>
          <w:rFonts w:asciiTheme="majorHAnsi" w:hAnsiTheme="majorHAnsi"/>
          <w:lang w:val="en-US"/>
        </w:rPr>
        <w:t xml:space="preserve"> or reconciliation</w:t>
      </w:r>
      <w:r w:rsidR="00A2411E">
        <w:rPr>
          <w:rFonts w:asciiTheme="majorHAnsi" w:hAnsiTheme="majorHAnsi"/>
          <w:lang w:val="en-US"/>
        </w:rPr>
        <w:t xml:space="preserve"> processes.</w:t>
      </w:r>
      <w:r w:rsidR="00F42225">
        <w:rPr>
          <w:rFonts w:asciiTheme="majorHAnsi" w:hAnsiTheme="majorHAnsi"/>
          <w:lang w:val="en-US"/>
        </w:rPr>
        <w:t xml:space="preserve"> As an example </w:t>
      </w:r>
      <w:r w:rsidR="00A2411E">
        <w:rPr>
          <w:rFonts w:asciiTheme="majorHAnsi" w:hAnsiTheme="majorHAnsi"/>
          <w:lang w:val="en-US"/>
        </w:rPr>
        <w:t>see the EU-mandated fact-finding mission on the war between Georgia and the Rus</w:t>
      </w:r>
      <w:r w:rsidR="00D676F3">
        <w:rPr>
          <w:rFonts w:asciiTheme="majorHAnsi" w:hAnsiTheme="majorHAnsi"/>
          <w:lang w:val="en-US"/>
        </w:rPr>
        <w:t>sian Federation in August 2008, which</w:t>
      </w:r>
      <w:r w:rsidR="00F42225">
        <w:rPr>
          <w:rFonts w:asciiTheme="majorHAnsi" w:hAnsiTheme="majorHAnsi"/>
          <w:lang w:val="en-US"/>
        </w:rPr>
        <w:t xml:space="preserve"> mission</w:t>
      </w:r>
      <w:r w:rsidR="00D676F3">
        <w:rPr>
          <w:rFonts w:asciiTheme="majorHAnsi" w:hAnsiTheme="majorHAnsi"/>
          <w:lang w:val="en-US"/>
        </w:rPr>
        <w:t xml:space="preserve"> resulted in a co</w:t>
      </w:r>
      <w:r w:rsidR="004603EB">
        <w:rPr>
          <w:rFonts w:asciiTheme="majorHAnsi" w:hAnsiTheme="majorHAnsi"/>
          <w:lang w:val="en-US"/>
        </w:rPr>
        <w:t>mprehensive report submitted</w:t>
      </w:r>
      <w:r w:rsidR="00D676F3">
        <w:rPr>
          <w:rFonts w:asciiTheme="majorHAnsi" w:hAnsiTheme="majorHAnsi"/>
          <w:lang w:val="en-US"/>
        </w:rPr>
        <w:t xml:space="preserve"> in September 2009</w:t>
      </w:r>
      <w:r w:rsidR="00C24738">
        <w:rPr>
          <w:rFonts w:asciiTheme="majorHAnsi" w:hAnsiTheme="majorHAnsi"/>
          <w:lang w:val="en-US"/>
        </w:rPr>
        <w:t xml:space="preserve"> (</w:t>
      </w:r>
      <w:hyperlink r:id="rId12" w:history="1">
        <w:r w:rsidR="00E93F02" w:rsidRPr="00840DF1">
          <w:rPr>
            <w:rStyle w:val="Collegamentoipertestuale"/>
            <w:rFonts w:asciiTheme="majorHAnsi" w:hAnsiTheme="majorHAnsi"/>
            <w:lang w:val="en-US"/>
          </w:rPr>
          <w:t>http://news.bbc.co.uk/2/shared/bsp/hi/pdfs/30_09_09_iiffmgc_report.pdf</w:t>
        </w:r>
      </w:hyperlink>
      <w:r w:rsidR="00E93F02">
        <w:rPr>
          <w:rFonts w:asciiTheme="majorHAnsi" w:hAnsiTheme="majorHAnsi"/>
          <w:lang w:val="en-US"/>
        </w:rPr>
        <w:t xml:space="preserve"> </w:t>
      </w:r>
      <w:r w:rsidR="00C24738">
        <w:rPr>
          <w:rFonts w:asciiTheme="majorHAnsi" w:hAnsiTheme="majorHAnsi"/>
          <w:lang w:val="en-US"/>
        </w:rPr>
        <w:t>)</w:t>
      </w:r>
      <w:r w:rsidR="00A2411E">
        <w:rPr>
          <w:rFonts w:asciiTheme="majorHAnsi" w:hAnsiTheme="majorHAnsi"/>
          <w:lang w:val="en-US"/>
        </w:rPr>
        <w:t>.</w:t>
      </w:r>
    </w:p>
    <w:p w:rsidR="00D03461" w:rsidRPr="00280394" w:rsidRDefault="00D03461" w:rsidP="0008535D">
      <w:pPr>
        <w:pStyle w:val="Paragrafoelenco"/>
        <w:numPr>
          <w:ilvl w:val="0"/>
          <w:numId w:val="3"/>
        </w:numPr>
        <w:jc w:val="both"/>
        <w:rPr>
          <w:rFonts w:asciiTheme="majorHAnsi" w:hAnsiTheme="majorHAnsi"/>
          <w:u w:val="single"/>
          <w:lang w:val="en-US"/>
        </w:rPr>
      </w:pPr>
      <w:r w:rsidRPr="00280394">
        <w:rPr>
          <w:rFonts w:asciiTheme="majorHAnsi" w:hAnsiTheme="majorHAnsi"/>
          <w:u w:val="single"/>
          <w:lang w:val="en-US"/>
        </w:rPr>
        <w:t>Arbitration</w:t>
      </w:r>
      <w:r w:rsidR="00051A90">
        <w:rPr>
          <w:rFonts w:asciiTheme="majorHAnsi" w:hAnsiTheme="majorHAnsi"/>
          <w:u w:val="single"/>
          <w:lang w:val="en-US"/>
        </w:rPr>
        <w:t xml:space="preserve"> on the South China Sea dispute</w:t>
      </w:r>
      <w:r w:rsidRPr="00280394">
        <w:rPr>
          <w:rFonts w:asciiTheme="majorHAnsi" w:hAnsiTheme="majorHAnsi"/>
          <w:u w:val="single"/>
          <w:lang w:val="en-US"/>
        </w:rPr>
        <w:t xml:space="preserve"> </w:t>
      </w:r>
    </w:p>
    <w:p w:rsidR="009A3395" w:rsidRDefault="00E041D1" w:rsidP="005107BC">
      <w:pPr>
        <w:jc w:val="both"/>
        <w:rPr>
          <w:rFonts w:asciiTheme="majorHAnsi" w:hAnsiTheme="majorHAnsi"/>
          <w:lang w:val="en-US"/>
        </w:rPr>
      </w:pPr>
      <w:r>
        <w:rPr>
          <w:rFonts w:asciiTheme="majorHAnsi" w:hAnsiTheme="majorHAnsi"/>
          <w:lang w:val="en-US"/>
        </w:rPr>
        <w:t>A summary of the</w:t>
      </w:r>
      <w:r w:rsidR="00D03461" w:rsidRPr="00D03461">
        <w:rPr>
          <w:rFonts w:asciiTheme="majorHAnsi" w:hAnsiTheme="majorHAnsi"/>
          <w:lang w:val="en-US"/>
        </w:rPr>
        <w:t xml:space="preserve"> 29 October 2015 award on jurisdiction and admissibility by the arbitration Tribunal in the case Philippines vs China  (</w:t>
      </w:r>
      <w:r w:rsidR="00051A90">
        <w:rPr>
          <w:rFonts w:asciiTheme="majorHAnsi" w:hAnsiTheme="majorHAnsi"/>
          <w:lang w:val="en-US"/>
        </w:rPr>
        <w:t xml:space="preserve">“The </w:t>
      </w:r>
      <w:r w:rsidR="00D03461" w:rsidRPr="00D03461">
        <w:rPr>
          <w:rFonts w:asciiTheme="majorHAnsi" w:hAnsiTheme="majorHAnsi"/>
          <w:lang w:val="en-US"/>
        </w:rPr>
        <w:t>S</w:t>
      </w:r>
      <w:r w:rsidR="00051A90">
        <w:rPr>
          <w:rFonts w:asciiTheme="majorHAnsi" w:hAnsiTheme="majorHAnsi"/>
          <w:lang w:val="en-US"/>
        </w:rPr>
        <w:t>outh China Sea Arbitration”</w:t>
      </w:r>
      <w:r w:rsidR="00D03461" w:rsidRPr="00D03461">
        <w:rPr>
          <w:rFonts w:asciiTheme="majorHAnsi" w:hAnsiTheme="majorHAnsi"/>
          <w:lang w:val="en-US"/>
        </w:rPr>
        <w:t xml:space="preserve">) can be found at: </w:t>
      </w:r>
      <w:hyperlink r:id="rId13" w:history="1">
        <w:r w:rsidR="00785793" w:rsidRPr="00EA7249">
          <w:rPr>
            <w:rStyle w:val="Collegamentoipertestuale"/>
            <w:rFonts w:asciiTheme="majorHAnsi" w:hAnsiTheme="majorHAnsi"/>
            <w:lang w:val="en-US"/>
          </w:rPr>
          <w:t>http://www.pcacases.com/web/sendAttach/1506</w:t>
        </w:r>
      </w:hyperlink>
      <w:r w:rsidR="00785793">
        <w:rPr>
          <w:rFonts w:asciiTheme="majorHAnsi" w:hAnsiTheme="majorHAnsi"/>
          <w:lang w:val="en-US"/>
        </w:rPr>
        <w:t xml:space="preserve"> </w:t>
      </w:r>
      <w:r w:rsidR="00D03461" w:rsidRPr="00D03461">
        <w:rPr>
          <w:rFonts w:asciiTheme="majorHAnsi" w:hAnsiTheme="majorHAnsi"/>
          <w:lang w:val="en-US"/>
        </w:rPr>
        <w:t xml:space="preserve"> </w:t>
      </w:r>
    </w:p>
    <w:p w:rsidR="00D03461" w:rsidRDefault="00E041D1" w:rsidP="005107BC">
      <w:pPr>
        <w:jc w:val="both"/>
        <w:rPr>
          <w:rFonts w:asciiTheme="majorHAnsi" w:hAnsiTheme="majorHAnsi"/>
          <w:lang w:val="en-US"/>
        </w:rPr>
      </w:pPr>
      <w:r w:rsidRPr="00280394">
        <w:rPr>
          <w:rFonts w:asciiTheme="majorHAnsi" w:hAnsiTheme="majorHAnsi"/>
          <w:lang w:val="en-US"/>
        </w:rPr>
        <w:t>A summary of the 12 July 2016</w:t>
      </w:r>
      <w:r w:rsidR="00D03461" w:rsidRPr="00280394">
        <w:rPr>
          <w:rFonts w:asciiTheme="majorHAnsi" w:hAnsiTheme="majorHAnsi"/>
          <w:lang w:val="en-US"/>
        </w:rPr>
        <w:t xml:space="preserve"> award on the merits can be found at:</w:t>
      </w:r>
      <w:r w:rsidR="00732A04">
        <w:rPr>
          <w:rFonts w:asciiTheme="majorHAnsi" w:hAnsiTheme="majorHAnsi"/>
          <w:lang w:val="en-US"/>
        </w:rPr>
        <w:t xml:space="preserve">   </w:t>
      </w:r>
      <w:hyperlink r:id="rId14" w:history="1">
        <w:r w:rsidRPr="00EA7249">
          <w:rPr>
            <w:rStyle w:val="Collegamentoipertestuale"/>
            <w:rFonts w:asciiTheme="majorHAnsi" w:hAnsiTheme="majorHAnsi"/>
            <w:lang w:val="en-US"/>
          </w:rPr>
          <w:t>https://pcacases.com/web/sendAttach/1801</w:t>
        </w:r>
      </w:hyperlink>
      <w:r>
        <w:rPr>
          <w:rFonts w:asciiTheme="majorHAnsi" w:hAnsiTheme="majorHAnsi"/>
          <w:lang w:val="en-US"/>
        </w:rPr>
        <w:t xml:space="preserve"> </w:t>
      </w:r>
    </w:p>
    <w:p w:rsidR="009A3395" w:rsidRPr="00272347" w:rsidRDefault="009A3395" w:rsidP="005107BC">
      <w:pPr>
        <w:jc w:val="both"/>
        <w:rPr>
          <w:rFonts w:asciiTheme="majorHAnsi" w:hAnsiTheme="majorHAnsi"/>
          <w:i/>
          <w:lang w:val="en-US"/>
        </w:rPr>
      </w:pPr>
      <w:r w:rsidRPr="00272347">
        <w:rPr>
          <w:rFonts w:asciiTheme="majorHAnsi" w:hAnsiTheme="majorHAnsi"/>
          <w:i/>
          <w:u w:val="single"/>
          <w:lang w:val="en-US"/>
        </w:rPr>
        <w:t>Note</w:t>
      </w:r>
      <w:r w:rsidRPr="00272347">
        <w:rPr>
          <w:rFonts w:asciiTheme="majorHAnsi" w:hAnsiTheme="majorHAnsi"/>
          <w:i/>
          <w:lang w:val="en-US"/>
        </w:rPr>
        <w:t xml:space="preserve"> that by a declaration dated 25 August 2006 China activated all the exceptions laid down in Article 298 para. 1 of the United Nations Convention on the Law of the Sea (these exce</w:t>
      </w:r>
      <w:r w:rsidR="00124803" w:rsidRPr="00272347">
        <w:rPr>
          <w:rFonts w:asciiTheme="majorHAnsi" w:hAnsiTheme="majorHAnsi"/>
          <w:i/>
          <w:lang w:val="en-US"/>
        </w:rPr>
        <w:t>ptions are mentioned at page 475, footnote no. 443</w:t>
      </w:r>
      <w:r w:rsidRPr="00272347">
        <w:rPr>
          <w:rFonts w:asciiTheme="majorHAnsi" w:hAnsiTheme="majorHAnsi"/>
          <w:i/>
          <w:lang w:val="en-US"/>
        </w:rPr>
        <w:t>, of the textbook).</w:t>
      </w:r>
    </w:p>
    <w:p w:rsidR="00E04FF4" w:rsidRPr="0008535D" w:rsidRDefault="00E04FF4"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 xml:space="preserve">Settlement of disputes involving </w:t>
      </w:r>
      <w:r w:rsidR="0086752A" w:rsidRPr="0008535D">
        <w:rPr>
          <w:rFonts w:asciiTheme="majorHAnsi" w:hAnsiTheme="majorHAnsi"/>
          <w:u w:val="single"/>
          <w:lang w:val="en-US"/>
        </w:rPr>
        <w:t>international organizations</w:t>
      </w:r>
    </w:p>
    <w:p w:rsidR="00F23FD4" w:rsidRDefault="0086752A" w:rsidP="005107BC">
      <w:pPr>
        <w:jc w:val="both"/>
        <w:rPr>
          <w:rFonts w:asciiTheme="majorHAnsi" w:hAnsiTheme="majorHAnsi"/>
          <w:lang w:val="en-US"/>
        </w:rPr>
      </w:pPr>
      <w:r>
        <w:rPr>
          <w:rFonts w:asciiTheme="majorHAnsi" w:hAnsiTheme="majorHAnsi"/>
          <w:lang w:val="en-US"/>
        </w:rPr>
        <w:t>Since international organizations may not appear before the International Court of Justice, in a number of cases the instrument of binding advisory opini</w:t>
      </w:r>
      <w:r w:rsidR="00051A90">
        <w:rPr>
          <w:rFonts w:asciiTheme="majorHAnsi" w:hAnsiTheme="majorHAnsi"/>
          <w:lang w:val="en-US"/>
        </w:rPr>
        <w:t>ons is resorted to</w:t>
      </w:r>
      <w:r>
        <w:rPr>
          <w:rFonts w:asciiTheme="majorHAnsi" w:hAnsiTheme="majorHAnsi"/>
          <w:lang w:val="en-US"/>
        </w:rPr>
        <w:t xml:space="preserve">: see e.g. Article </w:t>
      </w:r>
      <w:r w:rsidR="00232A60">
        <w:rPr>
          <w:rFonts w:asciiTheme="majorHAnsi" w:hAnsiTheme="majorHAnsi"/>
          <w:lang w:val="en-US"/>
        </w:rPr>
        <w:t xml:space="preserve">66 para. 2 </w:t>
      </w:r>
      <w:r w:rsidR="000F2FEC">
        <w:rPr>
          <w:rFonts w:asciiTheme="majorHAnsi" w:hAnsiTheme="majorHAnsi"/>
          <w:lang w:val="en-US"/>
        </w:rPr>
        <w:t>of the Vienna Convention on the Law of Treaties between States and International Organizations or between International Organizations.</w:t>
      </w:r>
      <w:r w:rsidR="00051A90">
        <w:rPr>
          <w:rFonts w:asciiTheme="majorHAnsi" w:hAnsiTheme="majorHAnsi"/>
          <w:lang w:val="en-US"/>
        </w:rPr>
        <w:t xml:space="preserve"> Furthermore, a</w:t>
      </w:r>
      <w:r w:rsidR="000F2FEC">
        <w:rPr>
          <w:rFonts w:asciiTheme="majorHAnsi" w:hAnsiTheme="majorHAnsi"/>
          <w:lang w:val="en-US"/>
        </w:rPr>
        <w:t>rbitration is generally available as a means to settle disputes involving International Organizations.</w:t>
      </w:r>
    </w:p>
    <w:p w:rsidR="00E04FF4" w:rsidRPr="0008535D" w:rsidRDefault="004603EB"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Aggression/armed attack</w:t>
      </w:r>
    </w:p>
    <w:p w:rsidR="00E04FF4" w:rsidRPr="002D1D35" w:rsidRDefault="004603EB" w:rsidP="005107BC">
      <w:pPr>
        <w:jc w:val="both"/>
        <w:rPr>
          <w:rFonts w:asciiTheme="majorHAnsi" w:hAnsiTheme="majorHAnsi"/>
          <w:lang w:val="en-US"/>
        </w:rPr>
      </w:pPr>
      <w:r>
        <w:rPr>
          <w:rFonts w:asciiTheme="majorHAnsi" w:hAnsiTheme="majorHAnsi"/>
          <w:lang w:val="en-US"/>
        </w:rPr>
        <w:t>The definition of aggre</w:t>
      </w:r>
      <w:r w:rsidR="006F1A02">
        <w:rPr>
          <w:rFonts w:asciiTheme="majorHAnsi" w:hAnsiTheme="majorHAnsi"/>
          <w:lang w:val="en-US"/>
        </w:rPr>
        <w:t>ssion (see p.</w:t>
      </w:r>
      <w:r w:rsidR="00283E16">
        <w:rPr>
          <w:rFonts w:asciiTheme="majorHAnsi" w:hAnsiTheme="majorHAnsi"/>
          <w:lang w:val="en-US"/>
        </w:rPr>
        <w:t xml:space="preserve"> 950</w:t>
      </w:r>
      <w:r>
        <w:rPr>
          <w:rFonts w:asciiTheme="majorHAnsi" w:hAnsiTheme="majorHAnsi"/>
          <w:lang w:val="en-US"/>
        </w:rPr>
        <w:t xml:space="preserve"> of the textbook) is also relevant for construing the notion of an “armed attack”, legitimizing the exercise of the right to self-defense. In fact, from a substantial point of view the two concepts tend</w:t>
      </w:r>
      <w:r w:rsidR="00596CE3">
        <w:rPr>
          <w:rFonts w:asciiTheme="majorHAnsi" w:hAnsiTheme="majorHAnsi"/>
          <w:lang w:val="en-US"/>
        </w:rPr>
        <w:t xml:space="preserve"> to coincide and the difference between them relates to the formal function they are meant to play (“armed attack” with regard to self-defense, “aggression” in respect of the exercise of Chapter VII powers by the Security Council and </w:t>
      </w:r>
      <w:r w:rsidR="006F1A02">
        <w:rPr>
          <w:rFonts w:asciiTheme="majorHAnsi" w:hAnsiTheme="majorHAnsi"/>
          <w:lang w:val="en-US"/>
        </w:rPr>
        <w:t xml:space="preserve">in the field </w:t>
      </w:r>
      <w:r w:rsidR="00051A90">
        <w:rPr>
          <w:rFonts w:asciiTheme="majorHAnsi" w:hAnsiTheme="majorHAnsi"/>
          <w:lang w:val="en-US"/>
        </w:rPr>
        <w:t xml:space="preserve">of responsibility for </w:t>
      </w:r>
      <w:r w:rsidR="00596CE3">
        <w:rPr>
          <w:rFonts w:asciiTheme="majorHAnsi" w:hAnsiTheme="majorHAnsi"/>
          <w:lang w:val="en-US"/>
        </w:rPr>
        <w:t>breach</w:t>
      </w:r>
      <w:r w:rsidR="00051A90">
        <w:rPr>
          <w:rFonts w:asciiTheme="majorHAnsi" w:hAnsiTheme="majorHAnsi"/>
          <w:lang w:val="en-US"/>
        </w:rPr>
        <w:t xml:space="preserve">es of </w:t>
      </w:r>
      <w:proofErr w:type="spellStart"/>
      <w:r w:rsidR="00051A90" w:rsidRPr="00051A90">
        <w:rPr>
          <w:rFonts w:asciiTheme="majorHAnsi" w:hAnsiTheme="majorHAnsi"/>
          <w:i/>
          <w:lang w:val="en-US"/>
        </w:rPr>
        <w:t>erga</w:t>
      </w:r>
      <w:proofErr w:type="spellEnd"/>
      <w:r w:rsidR="00051A90" w:rsidRPr="00051A90">
        <w:rPr>
          <w:rFonts w:asciiTheme="majorHAnsi" w:hAnsiTheme="majorHAnsi"/>
          <w:i/>
          <w:lang w:val="en-US"/>
        </w:rPr>
        <w:t xml:space="preserve"> </w:t>
      </w:r>
      <w:proofErr w:type="spellStart"/>
      <w:r w:rsidR="00051A90" w:rsidRPr="00051A90">
        <w:rPr>
          <w:rFonts w:asciiTheme="majorHAnsi" w:hAnsiTheme="majorHAnsi"/>
          <w:i/>
          <w:lang w:val="en-US"/>
        </w:rPr>
        <w:t>omnes</w:t>
      </w:r>
      <w:proofErr w:type="spellEnd"/>
      <w:r w:rsidR="00051A90">
        <w:rPr>
          <w:rFonts w:asciiTheme="majorHAnsi" w:hAnsiTheme="majorHAnsi"/>
          <w:lang w:val="en-US"/>
        </w:rPr>
        <w:t xml:space="preserve"> obligations</w:t>
      </w:r>
      <w:r w:rsidR="00C46DED">
        <w:rPr>
          <w:rFonts w:asciiTheme="majorHAnsi" w:hAnsiTheme="majorHAnsi"/>
          <w:lang w:val="en-US"/>
        </w:rPr>
        <w:t>)</w:t>
      </w:r>
      <w:r w:rsidR="00596CE3">
        <w:rPr>
          <w:rFonts w:asciiTheme="majorHAnsi" w:hAnsiTheme="majorHAnsi"/>
          <w:lang w:val="en-US"/>
        </w:rPr>
        <w:t>.</w:t>
      </w:r>
      <w:r>
        <w:rPr>
          <w:rFonts w:asciiTheme="majorHAnsi" w:hAnsiTheme="majorHAnsi"/>
          <w:lang w:val="en-US"/>
        </w:rPr>
        <w:t xml:space="preserve"> </w:t>
      </w:r>
    </w:p>
    <w:p w:rsidR="0008535D" w:rsidRPr="0008535D" w:rsidRDefault="0008535D" w:rsidP="0008535D">
      <w:pPr>
        <w:pStyle w:val="Paragrafoelenco"/>
        <w:numPr>
          <w:ilvl w:val="0"/>
          <w:numId w:val="3"/>
        </w:numPr>
        <w:jc w:val="both"/>
        <w:rPr>
          <w:rFonts w:asciiTheme="majorHAnsi" w:hAnsiTheme="majorHAnsi"/>
          <w:u w:val="single"/>
          <w:lang w:val="en-US"/>
        </w:rPr>
      </w:pPr>
      <w:r w:rsidRPr="0008535D">
        <w:rPr>
          <w:rFonts w:asciiTheme="majorHAnsi" w:hAnsiTheme="majorHAnsi"/>
          <w:u w:val="single"/>
          <w:lang w:val="en-US"/>
        </w:rPr>
        <w:t>Objective scope of the exercise by the Security Council of its powers under Chapter VII of the United Nations Charter</w:t>
      </w:r>
    </w:p>
    <w:p w:rsidR="002B7BB0" w:rsidRDefault="00FB2EE9" w:rsidP="0008535D">
      <w:pPr>
        <w:jc w:val="both"/>
        <w:rPr>
          <w:rFonts w:asciiTheme="majorHAnsi" w:hAnsiTheme="majorHAnsi"/>
          <w:lang w:val="en-US"/>
        </w:rPr>
      </w:pPr>
      <w:r>
        <w:rPr>
          <w:rFonts w:asciiTheme="majorHAnsi" w:hAnsiTheme="majorHAnsi"/>
          <w:lang w:val="en-US"/>
        </w:rPr>
        <w:t>T</w:t>
      </w:r>
      <w:r w:rsidR="0008535D" w:rsidRPr="0008535D">
        <w:rPr>
          <w:rFonts w:asciiTheme="majorHAnsi" w:hAnsiTheme="majorHAnsi"/>
          <w:lang w:val="en-US"/>
        </w:rPr>
        <w:t xml:space="preserve">he Security Council’s competences under Chapter VII of the United Nations Charter </w:t>
      </w:r>
      <w:r>
        <w:rPr>
          <w:rFonts w:asciiTheme="majorHAnsi" w:hAnsiTheme="majorHAnsi"/>
          <w:lang w:val="en-US"/>
        </w:rPr>
        <w:t>is a</w:t>
      </w:r>
      <w:r w:rsidRPr="00FB2EE9">
        <w:rPr>
          <w:rFonts w:asciiTheme="majorHAnsi" w:hAnsiTheme="majorHAnsi"/>
          <w:lang w:val="en-US"/>
        </w:rPr>
        <w:t>nother important case in which a treaty system impacts</w:t>
      </w:r>
      <w:r>
        <w:rPr>
          <w:rFonts w:asciiTheme="majorHAnsi" w:hAnsiTheme="majorHAnsi"/>
          <w:lang w:val="en-US"/>
        </w:rPr>
        <w:t xml:space="preserve"> also on non-Parties </w:t>
      </w:r>
      <w:r w:rsidR="0008535D" w:rsidRPr="0008535D">
        <w:rPr>
          <w:rFonts w:asciiTheme="majorHAnsi" w:hAnsiTheme="majorHAnsi"/>
          <w:lang w:val="en-US"/>
        </w:rPr>
        <w:t>(see Article 75 of the Vienna Convent</w:t>
      </w:r>
      <w:r>
        <w:rPr>
          <w:rFonts w:asciiTheme="majorHAnsi" w:hAnsiTheme="majorHAnsi"/>
          <w:lang w:val="en-US"/>
        </w:rPr>
        <w:t>ion on the Law of the Treaties).</w:t>
      </w:r>
    </w:p>
    <w:p w:rsidR="00A03BD6" w:rsidRPr="0008535D" w:rsidRDefault="00297D37"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 xml:space="preserve">Legal arguments invoked </w:t>
      </w:r>
      <w:r w:rsidR="001D2ED1">
        <w:rPr>
          <w:rFonts w:asciiTheme="majorHAnsi" w:hAnsiTheme="majorHAnsi"/>
          <w:u w:val="single"/>
          <w:lang w:val="en-US"/>
        </w:rPr>
        <w:t>by the United States and the United Kingdom</w:t>
      </w:r>
      <w:r w:rsidRPr="0008535D">
        <w:rPr>
          <w:rFonts w:asciiTheme="majorHAnsi" w:hAnsiTheme="majorHAnsi"/>
          <w:u w:val="single"/>
          <w:lang w:val="en-US"/>
        </w:rPr>
        <w:t xml:space="preserve"> for justifying their unilateral invasion of Iraq in 2003</w:t>
      </w:r>
    </w:p>
    <w:p w:rsidR="00297D37" w:rsidRPr="00280394" w:rsidRDefault="00297D37" w:rsidP="005107BC">
      <w:pPr>
        <w:jc w:val="both"/>
        <w:rPr>
          <w:rFonts w:asciiTheme="majorHAnsi" w:hAnsiTheme="majorHAnsi"/>
          <w:lang w:val="en-US"/>
        </w:rPr>
      </w:pPr>
      <w:r>
        <w:rPr>
          <w:rFonts w:asciiTheme="majorHAnsi" w:hAnsiTheme="majorHAnsi"/>
          <w:lang w:val="en-US"/>
        </w:rPr>
        <w:t xml:space="preserve">As the textbook explains (see the details at </w:t>
      </w:r>
      <w:r w:rsidR="006F1A02">
        <w:rPr>
          <w:rFonts w:asciiTheme="majorHAnsi" w:hAnsiTheme="majorHAnsi"/>
          <w:lang w:val="en-US"/>
        </w:rPr>
        <w:t>p.</w:t>
      </w:r>
      <w:r w:rsidR="00175261">
        <w:rPr>
          <w:rFonts w:asciiTheme="majorHAnsi" w:hAnsiTheme="majorHAnsi"/>
          <w:lang w:val="en-US"/>
        </w:rPr>
        <w:t xml:space="preserve"> 961</w:t>
      </w:r>
      <w:r>
        <w:rPr>
          <w:rFonts w:asciiTheme="majorHAnsi" w:hAnsiTheme="majorHAnsi"/>
          <w:lang w:val="en-US"/>
        </w:rPr>
        <w:t xml:space="preserve"> and following), the Unit</w:t>
      </w:r>
      <w:r w:rsidR="00B225FA">
        <w:rPr>
          <w:rFonts w:asciiTheme="majorHAnsi" w:hAnsiTheme="majorHAnsi"/>
          <w:lang w:val="en-US"/>
        </w:rPr>
        <w:t>ed States and the United Kingdom</w:t>
      </w:r>
      <w:r>
        <w:rPr>
          <w:rFonts w:asciiTheme="majorHAnsi" w:hAnsiTheme="majorHAnsi"/>
          <w:lang w:val="en-US"/>
        </w:rPr>
        <w:t xml:space="preserve"> essentially relied on an allegedly implied authorization by the Security Cou</w:t>
      </w:r>
      <w:r w:rsidR="009F030A">
        <w:rPr>
          <w:rFonts w:asciiTheme="majorHAnsi" w:hAnsiTheme="majorHAnsi"/>
          <w:lang w:val="en-US"/>
        </w:rPr>
        <w:t>ncil. The textbook states that «</w:t>
      </w:r>
      <w:r>
        <w:rPr>
          <w:rFonts w:asciiTheme="majorHAnsi" w:hAnsiTheme="majorHAnsi"/>
          <w:lang w:val="en-US"/>
        </w:rPr>
        <w:t>whether this amounts to a justification in international law for the US and the UK to use force in the face of the opposition of other Security Counci</w:t>
      </w:r>
      <w:r w:rsidR="009F030A">
        <w:rPr>
          <w:rFonts w:asciiTheme="majorHAnsi" w:hAnsiTheme="majorHAnsi"/>
          <w:lang w:val="en-US"/>
        </w:rPr>
        <w:t>l members remains controversial»</w:t>
      </w:r>
      <w:r>
        <w:rPr>
          <w:rFonts w:asciiTheme="majorHAnsi" w:hAnsiTheme="majorHAnsi"/>
          <w:lang w:val="en-US"/>
        </w:rPr>
        <w:t xml:space="preserve">. </w:t>
      </w:r>
      <w:r w:rsidR="00AB16EB">
        <w:rPr>
          <w:rFonts w:asciiTheme="majorHAnsi" w:hAnsiTheme="majorHAnsi"/>
          <w:lang w:val="en-US"/>
        </w:rPr>
        <w:t xml:space="preserve">The </w:t>
      </w:r>
      <w:r w:rsidR="00AB16EB">
        <w:rPr>
          <w:rFonts w:asciiTheme="majorHAnsi" w:hAnsiTheme="majorHAnsi"/>
          <w:lang w:val="en-US"/>
        </w:rPr>
        <w:lastRenderedPageBreak/>
        <w:t xml:space="preserve">“implied authorization” argument is actually more than controversial, as it would amount to granting States “carte blanche” (a free hand) on deciding </w:t>
      </w:r>
      <w:r w:rsidR="006F1A02">
        <w:rPr>
          <w:rFonts w:asciiTheme="majorHAnsi" w:hAnsiTheme="majorHAnsi"/>
          <w:lang w:val="en-US"/>
        </w:rPr>
        <w:t xml:space="preserve">- </w:t>
      </w:r>
      <w:r w:rsidR="00AB16EB">
        <w:rPr>
          <w:rFonts w:asciiTheme="majorHAnsi" w:hAnsiTheme="majorHAnsi"/>
          <w:lang w:val="en-US"/>
        </w:rPr>
        <w:t>in an arbitrary/unilateral manner</w:t>
      </w:r>
      <w:r w:rsidR="006F1A02">
        <w:rPr>
          <w:rFonts w:asciiTheme="majorHAnsi" w:hAnsiTheme="majorHAnsi"/>
          <w:lang w:val="en-US"/>
        </w:rPr>
        <w:t xml:space="preserve"> -</w:t>
      </w:r>
      <w:r w:rsidR="00AB16EB">
        <w:rPr>
          <w:rFonts w:asciiTheme="majorHAnsi" w:hAnsiTheme="majorHAnsi"/>
          <w:lang w:val="en-US"/>
        </w:rPr>
        <w:t xml:space="preserve"> when to use force and for which purpose, </w:t>
      </w:r>
      <w:r w:rsidR="00AB16EB" w:rsidRPr="00AB16EB">
        <w:rPr>
          <w:rFonts w:asciiTheme="majorHAnsi" w:hAnsiTheme="majorHAnsi"/>
          <w:lang w:val="en-US"/>
        </w:rPr>
        <w:t>outside any control by the Security Council</w:t>
      </w:r>
      <w:r w:rsidR="00AB16EB">
        <w:rPr>
          <w:rFonts w:asciiTheme="majorHAnsi" w:hAnsiTheme="majorHAnsi"/>
          <w:lang w:val="en-US"/>
        </w:rPr>
        <w:t xml:space="preserve">, as it happened </w:t>
      </w:r>
      <w:r w:rsidR="006F1A02">
        <w:rPr>
          <w:rFonts w:asciiTheme="majorHAnsi" w:hAnsiTheme="majorHAnsi"/>
          <w:lang w:val="en-US"/>
        </w:rPr>
        <w:t xml:space="preserve">precisely </w:t>
      </w:r>
      <w:r w:rsidR="00AB16EB">
        <w:rPr>
          <w:rFonts w:asciiTheme="majorHAnsi" w:hAnsiTheme="majorHAnsi"/>
          <w:lang w:val="en-US"/>
        </w:rPr>
        <w:t>in the case of Iraq’s invasion in 2003.</w:t>
      </w:r>
      <w:r w:rsidR="006F1A02">
        <w:rPr>
          <w:rFonts w:asciiTheme="majorHAnsi" w:hAnsiTheme="majorHAnsi"/>
          <w:lang w:val="en-US"/>
        </w:rPr>
        <w:t xml:space="preserve"> As a matter of</w:t>
      </w:r>
      <w:r w:rsidR="00AB16EB">
        <w:rPr>
          <w:rFonts w:asciiTheme="majorHAnsi" w:hAnsiTheme="majorHAnsi"/>
          <w:lang w:val="en-US"/>
        </w:rPr>
        <w:t xml:space="preserve"> fact</w:t>
      </w:r>
      <w:r w:rsidR="00B225FA">
        <w:rPr>
          <w:rFonts w:asciiTheme="majorHAnsi" w:hAnsiTheme="majorHAnsi"/>
          <w:lang w:val="en-US"/>
        </w:rPr>
        <w:t>, many</w:t>
      </w:r>
      <w:r w:rsidR="006F1A02">
        <w:rPr>
          <w:rFonts w:asciiTheme="majorHAnsi" w:hAnsiTheme="majorHAnsi"/>
          <w:lang w:val="en-US"/>
        </w:rPr>
        <w:t xml:space="preserve"> scholars, including from</w:t>
      </w:r>
      <w:r w:rsidR="00AB16EB">
        <w:rPr>
          <w:rFonts w:asciiTheme="majorHAnsi" w:hAnsiTheme="majorHAnsi"/>
          <w:lang w:val="en-US"/>
        </w:rPr>
        <w:t xml:space="preserve"> the UK, te</w:t>
      </w:r>
      <w:r w:rsidR="006F1A02">
        <w:rPr>
          <w:rFonts w:asciiTheme="majorHAnsi" w:hAnsiTheme="majorHAnsi"/>
          <w:lang w:val="en-US"/>
        </w:rPr>
        <w:t>nd to reject this argument</w:t>
      </w:r>
      <w:r w:rsidR="00B57A97">
        <w:rPr>
          <w:rFonts w:asciiTheme="majorHAnsi" w:hAnsiTheme="majorHAnsi"/>
          <w:lang w:val="en-US"/>
        </w:rPr>
        <w:t xml:space="preserve"> (see for example Lord Steyn, </w:t>
      </w:r>
      <w:r w:rsidR="00B57A97" w:rsidRPr="00B57A97">
        <w:rPr>
          <w:rFonts w:asciiTheme="majorHAnsi" w:hAnsiTheme="majorHAnsi"/>
          <w:i/>
          <w:lang w:val="en-US"/>
        </w:rPr>
        <w:t>The Legality of the Invasion of Iraq</w:t>
      </w:r>
      <w:r w:rsidR="00B57A97">
        <w:rPr>
          <w:rFonts w:asciiTheme="majorHAnsi" w:hAnsiTheme="majorHAnsi"/>
          <w:lang w:val="en-US"/>
        </w:rPr>
        <w:t xml:space="preserve">, in </w:t>
      </w:r>
      <w:r w:rsidR="00B57A97" w:rsidRPr="00B57A97">
        <w:rPr>
          <w:rFonts w:asciiTheme="majorHAnsi" w:hAnsiTheme="majorHAnsi"/>
          <w:i/>
          <w:lang w:val="en-US"/>
        </w:rPr>
        <w:t>European Human Rights Law Review</w:t>
      </w:r>
      <w:r w:rsidR="00B57A97">
        <w:rPr>
          <w:rFonts w:asciiTheme="majorHAnsi" w:hAnsiTheme="majorHAnsi"/>
          <w:lang w:val="en-US"/>
        </w:rPr>
        <w:t>, 2010, pp. 1-7</w:t>
      </w:r>
      <w:r w:rsidR="00FC4135">
        <w:rPr>
          <w:rFonts w:asciiTheme="majorHAnsi" w:hAnsiTheme="majorHAnsi"/>
          <w:lang w:val="en-US"/>
        </w:rPr>
        <w:t>)</w:t>
      </w:r>
      <w:r w:rsidR="00AB16EB">
        <w:rPr>
          <w:rFonts w:asciiTheme="majorHAnsi" w:hAnsiTheme="majorHAnsi"/>
          <w:lang w:val="en-US"/>
        </w:rPr>
        <w:t>.</w:t>
      </w:r>
      <w:r w:rsidR="002F72D6">
        <w:rPr>
          <w:rFonts w:asciiTheme="majorHAnsi" w:hAnsiTheme="majorHAnsi"/>
          <w:lang w:val="en-US"/>
        </w:rPr>
        <w:t xml:space="preserve"> </w:t>
      </w:r>
      <w:r w:rsidR="002F72D6" w:rsidRPr="00280394">
        <w:rPr>
          <w:rFonts w:asciiTheme="majorHAnsi" w:hAnsiTheme="majorHAnsi"/>
          <w:lang w:val="en-US"/>
        </w:rPr>
        <w:t xml:space="preserve">In this regard see also the </w:t>
      </w:r>
      <w:r w:rsidR="00C71459" w:rsidRPr="00280394">
        <w:rPr>
          <w:rFonts w:asciiTheme="majorHAnsi" w:hAnsiTheme="majorHAnsi"/>
          <w:lang w:val="en-US"/>
        </w:rPr>
        <w:t>“</w:t>
      </w:r>
      <w:r w:rsidR="002F72D6" w:rsidRPr="00280394">
        <w:rPr>
          <w:rFonts w:asciiTheme="majorHAnsi" w:hAnsiTheme="majorHAnsi"/>
          <w:lang w:val="en-US"/>
        </w:rPr>
        <w:t>Report of the Iraq Inquiry</w:t>
      </w:r>
      <w:r w:rsidR="00C71459" w:rsidRPr="00280394">
        <w:rPr>
          <w:rFonts w:asciiTheme="majorHAnsi" w:hAnsiTheme="majorHAnsi"/>
          <w:lang w:val="en-US"/>
        </w:rPr>
        <w:t>”</w:t>
      </w:r>
      <w:r w:rsidR="002F72D6" w:rsidRPr="00280394">
        <w:rPr>
          <w:rFonts w:asciiTheme="majorHAnsi" w:hAnsiTheme="majorHAnsi"/>
          <w:lang w:val="en-US"/>
        </w:rPr>
        <w:t xml:space="preserve"> published on 6 July 2016, at </w:t>
      </w:r>
      <w:hyperlink r:id="rId15" w:history="1">
        <w:r w:rsidR="002F72D6" w:rsidRPr="00280394">
          <w:rPr>
            <w:rStyle w:val="Collegamentoipertestuale"/>
            <w:rFonts w:asciiTheme="majorHAnsi" w:hAnsiTheme="majorHAnsi"/>
            <w:lang w:val="en-US"/>
          </w:rPr>
          <w:t>http://www.iraqinquiry.org.uk/</w:t>
        </w:r>
      </w:hyperlink>
      <w:r w:rsidR="002F72D6" w:rsidRPr="00280394">
        <w:rPr>
          <w:rFonts w:asciiTheme="majorHAnsi" w:hAnsiTheme="majorHAnsi"/>
          <w:lang w:val="en-US"/>
        </w:rPr>
        <w:t xml:space="preserve">, </w:t>
      </w:r>
      <w:r w:rsidR="00C71459" w:rsidRPr="00280394">
        <w:rPr>
          <w:rFonts w:asciiTheme="majorHAnsi" w:hAnsiTheme="majorHAnsi"/>
          <w:lang w:val="en-US"/>
        </w:rPr>
        <w:t>in particular paras. 431-495 and 810 of the Executive Summary.</w:t>
      </w:r>
    </w:p>
    <w:p w:rsidR="00AB16EB" w:rsidRPr="002D1D35" w:rsidRDefault="00E91CFA" w:rsidP="005107BC">
      <w:pPr>
        <w:jc w:val="both"/>
        <w:rPr>
          <w:rFonts w:asciiTheme="majorHAnsi" w:hAnsiTheme="majorHAnsi"/>
          <w:lang w:val="en-US"/>
        </w:rPr>
      </w:pPr>
      <w:r>
        <w:rPr>
          <w:rFonts w:asciiTheme="majorHAnsi" w:hAnsiTheme="majorHAnsi"/>
          <w:lang w:val="en-US"/>
        </w:rPr>
        <w:t>Also n</w:t>
      </w:r>
      <w:r w:rsidR="00AB16EB">
        <w:rPr>
          <w:rFonts w:asciiTheme="majorHAnsi" w:hAnsiTheme="majorHAnsi"/>
          <w:lang w:val="en-US"/>
        </w:rPr>
        <w:t xml:space="preserve">ote that the US, UK and French intervention in the North of Iraq in 1991, as well as the </w:t>
      </w:r>
      <w:r w:rsidR="006F1A02">
        <w:rPr>
          <w:rFonts w:asciiTheme="majorHAnsi" w:hAnsiTheme="majorHAnsi"/>
          <w:lang w:val="en-US"/>
        </w:rPr>
        <w:t xml:space="preserve">subsequent </w:t>
      </w:r>
      <w:r w:rsidR="00AB16EB">
        <w:rPr>
          <w:rFonts w:asciiTheme="majorHAnsi" w:hAnsiTheme="majorHAnsi"/>
          <w:lang w:val="en-US"/>
        </w:rPr>
        <w:t>setting up of no-fly zones, could be construed as a “humanitarian intervention”</w:t>
      </w:r>
      <w:r w:rsidR="00C7654C">
        <w:rPr>
          <w:rFonts w:asciiTheme="majorHAnsi" w:hAnsiTheme="majorHAnsi"/>
          <w:lang w:val="en-US"/>
        </w:rPr>
        <w:t xml:space="preserve"> (on which see pp. </w:t>
      </w:r>
      <w:r w:rsidR="00E936B6">
        <w:rPr>
          <w:rFonts w:asciiTheme="majorHAnsi" w:hAnsiTheme="majorHAnsi"/>
          <w:lang w:val="en-US"/>
        </w:rPr>
        <w:t>880-884</w:t>
      </w:r>
      <w:r w:rsidR="00243D57">
        <w:rPr>
          <w:rFonts w:asciiTheme="majorHAnsi" w:hAnsiTheme="majorHAnsi"/>
          <w:lang w:val="en-US"/>
        </w:rPr>
        <w:t xml:space="preserve"> </w:t>
      </w:r>
      <w:r w:rsidR="00C7654C">
        <w:rPr>
          <w:rFonts w:asciiTheme="majorHAnsi" w:hAnsiTheme="majorHAnsi"/>
          <w:lang w:val="en-US"/>
        </w:rPr>
        <w:t xml:space="preserve">of the textbook), rather than as pursuing an “implied authorization”, taking account </w:t>
      </w:r>
      <w:r w:rsidR="006F1A02">
        <w:rPr>
          <w:rFonts w:asciiTheme="majorHAnsi" w:hAnsiTheme="majorHAnsi"/>
          <w:lang w:val="en-US"/>
        </w:rPr>
        <w:t xml:space="preserve">of </w:t>
      </w:r>
      <w:r w:rsidR="00C7654C">
        <w:rPr>
          <w:rFonts w:asciiTheme="majorHAnsi" w:hAnsiTheme="majorHAnsi"/>
          <w:lang w:val="en-US"/>
        </w:rPr>
        <w:t xml:space="preserve">the </w:t>
      </w:r>
      <w:r w:rsidR="006F1A02">
        <w:rPr>
          <w:rFonts w:asciiTheme="majorHAnsi" w:hAnsiTheme="majorHAnsi"/>
          <w:lang w:val="en-US"/>
        </w:rPr>
        <w:t xml:space="preserve">nature of the </w:t>
      </w:r>
      <w:r w:rsidR="00C7654C">
        <w:rPr>
          <w:rFonts w:asciiTheme="majorHAnsi" w:hAnsiTheme="majorHAnsi"/>
          <w:lang w:val="en-US"/>
        </w:rPr>
        <w:t>justifications put forward especially by the UK and France</w:t>
      </w:r>
      <w:r w:rsidR="00FC4135">
        <w:rPr>
          <w:rFonts w:asciiTheme="majorHAnsi" w:hAnsiTheme="majorHAnsi"/>
          <w:lang w:val="en-US"/>
        </w:rPr>
        <w:t xml:space="preserve"> (cf. for example</w:t>
      </w:r>
      <w:r w:rsidR="00A52AFB">
        <w:rPr>
          <w:rFonts w:asciiTheme="majorHAnsi" w:hAnsiTheme="majorHAnsi"/>
          <w:lang w:val="en-US"/>
        </w:rPr>
        <w:t xml:space="preserve"> </w:t>
      </w:r>
      <w:r w:rsidR="00A52AFB" w:rsidRPr="00A52AFB">
        <w:rPr>
          <w:rFonts w:asciiTheme="majorHAnsi" w:hAnsiTheme="majorHAnsi"/>
          <w:i/>
          <w:lang w:val="en-US"/>
        </w:rPr>
        <w:t>Humanitarian Intervention. Ethical, Legal and Political Dilemmas</w:t>
      </w:r>
      <w:r w:rsidR="00A52AFB">
        <w:rPr>
          <w:rFonts w:asciiTheme="majorHAnsi" w:hAnsiTheme="majorHAnsi"/>
          <w:lang w:val="en-US"/>
        </w:rPr>
        <w:t xml:space="preserve">, J.L. </w:t>
      </w:r>
      <w:proofErr w:type="spellStart"/>
      <w:r w:rsidR="00A52AFB">
        <w:rPr>
          <w:rFonts w:asciiTheme="majorHAnsi" w:hAnsiTheme="majorHAnsi"/>
          <w:lang w:val="en-US"/>
        </w:rPr>
        <w:t>Holzgrefe</w:t>
      </w:r>
      <w:proofErr w:type="spellEnd"/>
      <w:r w:rsidR="00A52AFB">
        <w:rPr>
          <w:rFonts w:asciiTheme="majorHAnsi" w:hAnsiTheme="majorHAnsi"/>
          <w:lang w:val="en-US"/>
        </w:rPr>
        <w:t xml:space="preserve"> and </w:t>
      </w:r>
      <w:proofErr w:type="spellStart"/>
      <w:r w:rsidR="00A52AFB">
        <w:rPr>
          <w:rFonts w:asciiTheme="majorHAnsi" w:hAnsiTheme="majorHAnsi"/>
          <w:lang w:val="en-US"/>
        </w:rPr>
        <w:t>R.O.Keohane</w:t>
      </w:r>
      <w:proofErr w:type="spellEnd"/>
      <w:r w:rsidR="00A52AFB">
        <w:rPr>
          <w:rFonts w:asciiTheme="majorHAnsi" w:hAnsiTheme="majorHAnsi"/>
          <w:lang w:val="en-US"/>
        </w:rPr>
        <w:t xml:space="preserve"> Editors, Cambridge, 2003,</w:t>
      </w:r>
      <w:r w:rsidR="00FC4135">
        <w:rPr>
          <w:rFonts w:asciiTheme="majorHAnsi" w:hAnsiTheme="majorHAnsi"/>
          <w:lang w:val="en-US"/>
        </w:rPr>
        <w:t xml:space="preserve"> </w:t>
      </w:r>
      <w:r w:rsidR="00AD57A2">
        <w:rPr>
          <w:rFonts w:asciiTheme="majorHAnsi" w:hAnsiTheme="majorHAnsi"/>
          <w:lang w:val="en-US"/>
        </w:rPr>
        <w:t>p. 183 and following)</w:t>
      </w:r>
      <w:r w:rsidR="00C7654C">
        <w:rPr>
          <w:rFonts w:asciiTheme="majorHAnsi" w:hAnsiTheme="majorHAnsi"/>
          <w:lang w:val="en-US"/>
        </w:rPr>
        <w:t>.</w:t>
      </w:r>
    </w:p>
    <w:p w:rsidR="00A03BD6" w:rsidRPr="0008535D" w:rsidRDefault="005107BC" w:rsidP="0008535D">
      <w:pPr>
        <w:pStyle w:val="Paragrafoelenco"/>
        <w:numPr>
          <w:ilvl w:val="0"/>
          <w:numId w:val="3"/>
        </w:numPr>
        <w:jc w:val="both"/>
        <w:rPr>
          <w:rFonts w:asciiTheme="majorHAnsi" w:hAnsiTheme="majorHAnsi"/>
          <w:lang w:val="en-US"/>
        </w:rPr>
      </w:pPr>
      <w:r w:rsidRPr="0008535D">
        <w:rPr>
          <w:rFonts w:asciiTheme="majorHAnsi" w:hAnsiTheme="majorHAnsi"/>
          <w:u w:val="single"/>
          <w:lang w:val="en-US"/>
        </w:rPr>
        <w:t>Srebrenica</w:t>
      </w:r>
    </w:p>
    <w:p w:rsidR="00E04FF4" w:rsidRDefault="00850727" w:rsidP="005107BC">
      <w:pPr>
        <w:jc w:val="both"/>
        <w:rPr>
          <w:rFonts w:asciiTheme="majorHAnsi" w:hAnsiTheme="majorHAnsi"/>
          <w:lang w:val="en-US"/>
        </w:rPr>
      </w:pPr>
      <w:r>
        <w:rPr>
          <w:rFonts w:asciiTheme="majorHAnsi" w:hAnsiTheme="majorHAnsi"/>
          <w:lang w:val="en-US"/>
        </w:rPr>
        <w:t>The statement at p. 915 of th</w:t>
      </w:r>
      <w:r w:rsidR="009F030A">
        <w:rPr>
          <w:rFonts w:asciiTheme="majorHAnsi" w:hAnsiTheme="majorHAnsi"/>
          <w:lang w:val="en-US"/>
        </w:rPr>
        <w:t>e textbook, according to which «</w:t>
      </w:r>
      <w:r>
        <w:rPr>
          <w:rFonts w:asciiTheme="majorHAnsi" w:hAnsiTheme="majorHAnsi"/>
          <w:lang w:val="en-US"/>
        </w:rPr>
        <w:t>Srebrenica was then captured by Bosnian Serb forces in July 1995, involving major human rights abuses again</w:t>
      </w:r>
      <w:r w:rsidR="009F030A">
        <w:rPr>
          <w:rFonts w:asciiTheme="majorHAnsi" w:hAnsiTheme="majorHAnsi"/>
          <w:lang w:val="en-US"/>
        </w:rPr>
        <w:t>st the population»</w:t>
      </w:r>
      <w:r>
        <w:rPr>
          <w:rFonts w:asciiTheme="majorHAnsi" w:hAnsiTheme="majorHAnsi"/>
          <w:lang w:val="en-US"/>
        </w:rPr>
        <w:t>, should be understood in much more dramatic terms, sinc</w:t>
      </w:r>
      <w:r w:rsidR="007D5193">
        <w:rPr>
          <w:rFonts w:asciiTheme="majorHAnsi" w:hAnsiTheme="majorHAnsi"/>
          <w:lang w:val="en-US"/>
        </w:rPr>
        <w:t>e acts of genocide were actually committed</w:t>
      </w:r>
      <w:r>
        <w:rPr>
          <w:rFonts w:asciiTheme="majorHAnsi" w:hAnsiTheme="majorHAnsi"/>
          <w:lang w:val="en-US"/>
        </w:rPr>
        <w:t xml:space="preserve"> in Srebrenica, as was later established</w:t>
      </w:r>
      <w:r w:rsidR="000519D1">
        <w:rPr>
          <w:rFonts w:asciiTheme="majorHAnsi" w:hAnsiTheme="majorHAnsi"/>
          <w:lang w:val="en-US"/>
        </w:rPr>
        <w:t>, inter alia,</w:t>
      </w:r>
      <w:r>
        <w:rPr>
          <w:rFonts w:asciiTheme="majorHAnsi" w:hAnsiTheme="majorHAnsi"/>
          <w:lang w:val="en-US"/>
        </w:rPr>
        <w:t xml:space="preserve"> by the International Court of Justice in the </w:t>
      </w:r>
      <w:r w:rsidRPr="00E93F02">
        <w:rPr>
          <w:rFonts w:asciiTheme="majorHAnsi" w:hAnsiTheme="majorHAnsi"/>
          <w:i/>
          <w:lang w:val="en-US"/>
        </w:rPr>
        <w:t>Bosnia</w:t>
      </w:r>
      <w:r w:rsidR="007C1D6E" w:rsidRPr="00E93F02">
        <w:rPr>
          <w:rFonts w:asciiTheme="majorHAnsi" w:hAnsiTheme="majorHAnsi"/>
          <w:i/>
          <w:lang w:val="en-US"/>
        </w:rPr>
        <w:t xml:space="preserve"> and Herzegovina</w:t>
      </w:r>
      <w:r w:rsidRPr="00E93F02">
        <w:rPr>
          <w:rFonts w:asciiTheme="majorHAnsi" w:hAnsiTheme="majorHAnsi"/>
          <w:i/>
          <w:lang w:val="en-US"/>
        </w:rPr>
        <w:t xml:space="preserve"> v. Serbia</w:t>
      </w:r>
      <w:r w:rsidR="007C1D6E" w:rsidRPr="00E93F02">
        <w:rPr>
          <w:rFonts w:asciiTheme="majorHAnsi" w:hAnsiTheme="majorHAnsi"/>
          <w:i/>
          <w:lang w:val="en-US"/>
        </w:rPr>
        <w:t xml:space="preserve"> and Montenegro</w:t>
      </w:r>
      <w:r>
        <w:rPr>
          <w:rFonts w:asciiTheme="majorHAnsi" w:hAnsiTheme="majorHAnsi"/>
          <w:lang w:val="en-US"/>
        </w:rPr>
        <w:t xml:space="preserve"> judgment of </w:t>
      </w:r>
      <w:r w:rsidR="007C1D6E">
        <w:rPr>
          <w:rFonts w:asciiTheme="majorHAnsi" w:hAnsiTheme="majorHAnsi"/>
          <w:lang w:val="en-US"/>
        </w:rPr>
        <w:t>26 February 2007</w:t>
      </w:r>
      <w:r w:rsidR="007D5193">
        <w:rPr>
          <w:rFonts w:asciiTheme="majorHAnsi" w:hAnsiTheme="majorHAnsi"/>
          <w:lang w:val="en-US"/>
        </w:rPr>
        <w:t xml:space="preserve"> (paras. 278-297)</w:t>
      </w:r>
      <w:r w:rsidR="007C1D6E">
        <w:rPr>
          <w:rFonts w:asciiTheme="majorHAnsi" w:hAnsiTheme="majorHAnsi"/>
          <w:lang w:val="en-US"/>
        </w:rPr>
        <w:t>.</w:t>
      </w:r>
    </w:p>
    <w:p w:rsidR="00766A38" w:rsidRPr="00766A38" w:rsidRDefault="00766A38" w:rsidP="00766A38">
      <w:pPr>
        <w:pStyle w:val="Paragrafoelenco"/>
        <w:numPr>
          <w:ilvl w:val="0"/>
          <w:numId w:val="3"/>
        </w:numPr>
        <w:jc w:val="both"/>
        <w:rPr>
          <w:rFonts w:asciiTheme="majorHAnsi" w:hAnsiTheme="majorHAnsi"/>
          <w:u w:val="single"/>
          <w:lang w:val="en-US"/>
        </w:rPr>
      </w:pPr>
      <w:r w:rsidRPr="00766A38">
        <w:rPr>
          <w:rFonts w:asciiTheme="majorHAnsi" w:hAnsiTheme="majorHAnsi"/>
          <w:u w:val="single"/>
          <w:lang w:val="en-US"/>
        </w:rPr>
        <w:t>Notion of “sanctions”</w:t>
      </w:r>
    </w:p>
    <w:p w:rsidR="00766A38" w:rsidRDefault="00CB2342" w:rsidP="00766A38">
      <w:pPr>
        <w:jc w:val="both"/>
        <w:rPr>
          <w:rFonts w:asciiTheme="majorHAnsi" w:hAnsiTheme="majorHAnsi"/>
          <w:lang w:val="en-US"/>
        </w:rPr>
      </w:pPr>
      <w:r>
        <w:rPr>
          <w:rFonts w:asciiTheme="majorHAnsi" w:hAnsiTheme="majorHAnsi"/>
          <w:lang w:val="en-US"/>
        </w:rPr>
        <w:t xml:space="preserve">Strictly speaking, the term “sanctions” refers to sanctioning measures adopted by an international </w:t>
      </w:r>
      <w:proofErr w:type="spellStart"/>
      <w:r>
        <w:rPr>
          <w:rFonts w:asciiTheme="majorHAnsi" w:hAnsiTheme="majorHAnsi"/>
          <w:lang w:val="en-US"/>
        </w:rPr>
        <w:t>organisation</w:t>
      </w:r>
      <w:proofErr w:type="spellEnd"/>
      <w:r>
        <w:rPr>
          <w:rFonts w:asciiTheme="majorHAnsi" w:hAnsiTheme="majorHAnsi"/>
          <w:lang w:val="en-US"/>
        </w:rPr>
        <w:t xml:space="preserve"> </w:t>
      </w:r>
      <w:r w:rsidRPr="009422F0">
        <w:rPr>
          <w:rFonts w:asciiTheme="majorHAnsi" w:hAnsiTheme="majorHAnsi"/>
          <w:i/>
          <w:u w:val="single"/>
          <w:lang w:val="en-US"/>
        </w:rPr>
        <w:t>vis-à-vis its member States</w:t>
      </w:r>
      <w:r>
        <w:rPr>
          <w:rFonts w:asciiTheme="majorHAnsi" w:hAnsiTheme="majorHAnsi"/>
          <w:lang w:val="en-US"/>
        </w:rPr>
        <w:t>.</w:t>
      </w:r>
    </w:p>
    <w:p w:rsidR="00CB2342" w:rsidRPr="00CB2342" w:rsidRDefault="00CB2342" w:rsidP="00CB2342">
      <w:pPr>
        <w:pStyle w:val="Paragrafoelenco"/>
        <w:numPr>
          <w:ilvl w:val="0"/>
          <w:numId w:val="3"/>
        </w:numPr>
        <w:jc w:val="both"/>
        <w:rPr>
          <w:rFonts w:asciiTheme="majorHAnsi" w:hAnsiTheme="majorHAnsi"/>
          <w:u w:val="single"/>
          <w:lang w:val="en-US"/>
        </w:rPr>
      </w:pPr>
      <w:r w:rsidRPr="00CB2342">
        <w:rPr>
          <w:rFonts w:asciiTheme="majorHAnsi" w:hAnsiTheme="majorHAnsi"/>
          <w:u w:val="single"/>
          <w:lang w:val="en-US"/>
        </w:rPr>
        <w:t>Western Sahara/European Court of Justice</w:t>
      </w:r>
    </w:p>
    <w:p w:rsidR="00CB2342" w:rsidRDefault="00CB2342" w:rsidP="00CB2342">
      <w:pPr>
        <w:jc w:val="both"/>
        <w:rPr>
          <w:rFonts w:asciiTheme="majorHAnsi" w:hAnsiTheme="majorHAnsi"/>
          <w:lang w:val="en-US"/>
        </w:rPr>
      </w:pPr>
      <w:r>
        <w:rPr>
          <w:rFonts w:asciiTheme="majorHAnsi" w:hAnsiTheme="majorHAnsi"/>
          <w:lang w:val="en-US"/>
        </w:rPr>
        <w:t>As reported in footnote 211 at p. 185 of the textbook, in its decision of 21</w:t>
      </w:r>
      <w:r>
        <w:rPr>
          <w:rFonts w:asciiTheme="majorHAnsi" w:hAnsiTheme="majorHAnsi"/>
          <w:vertAlign w:val="superscript"/>
          <w:lang w:val="en-US"/>
        </w:rPr>
        <w:t xml:space="preserve"> </w:t>
      </w:r>
      <w:r>
        <w:rPr>
          <w:rFonts w:asciiTheme="majorHAnsi" w:hAnsiTheme="majorHAnsi"/>
          <w:lang w:val="en-US"/>
        </w:rPr>
        <w:t xml:space="preserve">December 2016 the European Court of Justice «quashed the decision of the General Court and denied legal standing to </w:t>
      </w:r>
      <w:proofErr w:type="spellStart"/>
      <w:r>
        <w:rPr>
          <w:rFonts w:asciiTheme="majorHAnsi" w:hAnsiTheme="majorHAnsi"/>
          <w:lang w:val="en-US"/>
        </w:rPr>
        <w:t>Polisario</w:t>
      </w:r>
      <w:proofErr w:type="spellEnd"/>
      <w:r>
        <w:rPr>
          <w:rFonts w:asciiTheme="majorHAnsi" w:hAnsiTheme="majorHAnsi"/>
          <w:lang w:val="en-US"/>
        </w:rPr>
        <w:t xml:space="preserve">». However, it is worth noting that in the latter decision </w:t>
      </w:r>
      <w:r w:rsidR="00733DBF">
        <w:rPr>
          <w:rFonts w:asciiTheme="majorHAnsi" w:hAnsiTheme="majorHAnsi"/>
          <w:lang w:val="en-US"/>
        </w:rPr>
        <w:t>the European Court of Justice also established that the EU-Moro</w:t>
      </w:r>
      <w:r w:rsidR="00340638">
        <w:rPr>
          <w:rFonts w:asciiTheme="majorHAnsi" w:hAnsiTheme="majorHAnsi"/>
          <w:lang w:val="en-US"/>
        </w:rPr>
        <w:t xml:space="preserve">cco Association </w:t>
      </w:r>
      <w:r w:rsidR="00733DBF">
        <w:rPr>
          <w:rFonts w:asciiTheme="majorHAnsi" w:hAnsiTheme="majorHAnsi"/>
          <w:lang w:val="en-US"/>
        </w:rPr>
        <w:t xml:space="preserve">and Free Trade Agreements </w:t>
      </w:r>
      <w:r w:rsidR="00842D99">
        <w:rPr>
          <w:rFonts w:asciiTheme="majorHAnsi" w:hAnsiTheme="majorHAnsi"/>
          <w:lang w:val="en-US"/>
        </w:rPr>
        <w:t>could not</w:t>
      </w:r>
      <w:r w:rsidR="00340638">
        <w:rPr>
          <w:rFonts w:asciiTheme="majorHAnsi" w:hAnsiTheme="majorHAnsi"/>
          <w:lang w:val="en-US"/>
        </w:rPr>
        <w:t xml:space="preserve"> be applied</w:t>
      </w:r>
      <w:r w:rsidR="00733DBF">
        <w:rPr>
          <w:rFonts w:asciiTheme="majorHAnsi" w:hAnsiTheme="majorHAnsi"/>
          <w:lang w:val="en-US"/>
        </w:rPr>
        <w:t xml:space="preserve"> to Western Sahara, gi</w:t>
      </w:r>
      <w:r w:rsidR="00340638">
        <w:rPr>
          <w:rFonts w:asciiTheme="majorHAnsi" w:hAnsiTheme="majorHAnsi"/>
          <w:lang w:val="en-US"/>
        </w:rPr>
        <w:t xml:space="preserve">ven that the </w:t>
      </w:r>
      <w:r w:rsidR="00733DBF">
        <w:rPr>
          <w:rFonts w:asciiTheme="majorHAnsi" w:hAnsiTheme="majorHAnsi"/>
          <w:lang w:val="en-US"/>
        </w:rPr>
        <w:t>People</w:t>
      </w:r>
      <w:r w:rsidR="00340638">
        <w:rPr>
          <w:rFonts w:asciiTheme="majorHAnsi" w:hAnsiTheme="majorHAnsi"/>
          <w:lang w:val="en-US"/>
        </w:rPr>
        <w:t xml:space="preserve"> of Western Sahara</w:t>
      </w:r>
      <w:r w:rsidR="00733DBF">
        <w:rPr>
          <w:rFonts w:asciiTheme="majorHAnsi" w:hAnsiTheme="majorHAnsi"/>
          <w:lang w:val="en-US"/>
        </w:rPr>
        <w:t xml:space="preserve">, holding a </w:t>
      </w:r>
      <w:r w:rsidR="00340638">
        <w:rPr>
          <w:rFonts w:asciiTheme="majorHAnsi" w:hAnsiTheme="majorHAnsi"/>
          <w:lang w:val="en-US"/>
        </w:rPr>
        <w:t xml:space="preserve">right to self-determination, </w:t>
      </w:r>
      <w:r w:rsidR="00842D99">
        <w:rPr>
          <w:rFonts w:asciiTheme="majorHAnsi" w:hAnsiTheme="majorHAnsi"/>
          <w:lang w:val="en-US"/>
        </w:rPr>
        <w:t xml:space="preserve">was a third party in respect of the EU-Morocco agreements and that it </w:t>
      </w:r>
      <w:r w:rsidR="00340638">
        <w:rPr>
          <w:rFonts w:asciiTheme="majorHAnsi" w:hAnsiTheme="majorHAnsi"/>
          <w:lang w:val="en-US"/>
        </w:rPr>
        <w:t xml:space="preserve">had not expressed its consent </w:t>
      </w:r>
      <w:r w:rsidR="00842D99">
        <w:rPr>
          <w:rFonts w:asciiTheme="majorHAnsi" w:hAnsiTheme="majorHAnsi"/>
          <w:lang w:val="en-US"/>
        </w:rPr>
        <w:t>to their implementation within Western Sahara</w:t>
      </w:r>
      <w:r w:rsidR="00733DBF">
        <w:rPr>
          <w:rFonts w:asciiTheme="majorHAnsi" w:hAnsiTheme="majorHAnsi"/>
          <w:lang w:val="en-US"/>
        </w:rPr>
        <w:t>.</w:t>
      </w:r>
      <w:r w:rsidR="00340638">
        <w:rPr>
          <w:rFonts w:asciiTheme="majorHAnsi" w:hAnsiTheme="majorHAnsi"/>
          <w:lang w:val="en-US"/>
        </w:rPr>
        <w:t xml:space="preserve"> The same principle has been recently reaffirmed with regard to the EU-Morocco Fisheries Agreement (</w:t>
      </w:r>
      <w:r w:rsidR="00842D99">
        <w:rPr>
          <w:rFonts w:asciiTheme="majorHAnsi" w:hAnsiTheme="majorHAnsi"/>
          <w:lang w:val="en-US"/>
        </w:rPr>
        <w:t xml:space="preserve">European Court of Justice, </w:t>
      </w:r>
      <w:r w:rsidR="00340638">
        <w:rPr>
          <w:rFonts w:asciiTheme="majorHAnsi" w:hAnsiTheme="majorHAnsi"/>
          <w:lang w:val="en-US"/>
        </w:rPr>
        <w:t>Judgment of 19 July 2018).</w:t>
      </w:r>
    </w:p>
    <w:p w:rsidR="00CB2342" w:rsidRDefault="00CB2342" w:rsidP="00CB2342">
      <w:pPr>
        <w:pStyle w:val="Paragrafoelenco"/>
        <w:numPr>
          <w:ilvl w:val="0"/>
          <w:numId w:val="3"/>
        </w:numPr>
        <w:jc w:val="both"/>
        <w:rPr>
          <w:rFonts w:asciiTheme="majorHAnsi" w:hAnsiTheme="majorHAnsi"/>
          <w:u w:val="single"/>
          <w:lang w:val="en-US"/>
        </w:rPr>
      </w:pPr>
      <w:r w:rsidRPr="00CB2342">
        <w:rPr>
          <w:rFonts w:asciiTheme="majorHAnsi" w:hAnsiTheme="majorHAnsi"/>
          <w:u w:val="single"/>
          <w:lang w:val="en-US"/>
        </w:rPr>
        <w:t>Right to external self-determination</w:t>
      </w:r>
    </w:p>
    <w:p w:rsidR="00262E0B" w:rsidRDefault="00CB2342" w:rsidP="00262E0B">
      <w:pPr>
        <w:jc w:val="both"/>
        <w:rPr>
          <w:rFonts w:asciiTheme="majorHAnsi" w:hAnsiTheme="majorHAnsi"/>
          <w:lang w:val="en-US"/>
        </w:rPr>
      </w:pPr>
      <w:r>
        <w:rPr>
          <w:rFonts w:asciiTheme="majorHAnsi" w:hAnsiTheme="majorHAnsi"/>
          <w:lang w:val="en-US"/>
        </w:rPr>
        <w:t>It must be underlined that “alien subjugation”</w:t>
      </w:r>
      <w:r w:rsidR="00584FE6">
        <w:rPr>
          <w:rFonts w:asciiTheme="majorHAnsi" w:hAnsiTheme="majorHAnsi"/>
          <w:lang w:val="en-US"/>
        </w:rPr>
        <w:t>, having taken place after the entry into force of the Charter of the United Nations,</w:t>
      </w:r>
      <w:r>
        <w:rPr>
          <w:rFonts w:asciiTheme="majorHAnsi" w:hAnsiTheme="majorHAnsi"/>
          <w:lang w:val="en-US"/>
        </w:rPr>
        <w:t xml:space="preserve"> is one of the non-contr</w:t>
      </w:r>
      <w:r w:rsidR="00733DBF">
        <w:rPr>
          <w:rFonts w:asciiTheme="majorHAnsi" w:hAnsiTheme="majorHAnsi"/>
          <w:lang w:val="en-US"/>
        </w:rPr>
        <w:t>oversial situations in which a</w:t>
      </w:r>
      <w:r>
        <w:rPr>
          <w:rFonts w:asciiTheme="majorHAnsi" w:hAnsiTheme="majorHAnsi"/>
          <w:lang w:val="en-US"/>
        </w:rPr>
        <w:t xml:space="preserve"> right to external self-determination is granted</w:t>
      </w:r>
      <w:r w:rsidR="00733DBF">
        <w:rPr>
          <w:rFonts w:asciiTheme="majorHAnsi" w:hAnsiTheme="majorHAnsi"/>
          <w:lang w:val="en-US"/>
        </w:rPr>
        <w:t xml:space="preserve"> (cf. p. 203 of the textbook)</w:t>
      </w:r>
      <w:r>
        <w:rPr>
          <w:rFonts w:asciiTheme="majorHAnsi" w:hAnsiTheme="majorHAnsi"/>
          <w:lang w:val="en-US"/>
        </w:rPr>
        <w:t>.</w:t>
      </w:r>
      <w:r w:rsidR="00842D99">
        <w:rPr>
          <w:rFonts w:asciiTheme="majorHAnsi" w:hAnsiTheme="majorHAnsi"/>
          <w:lang w:val="en-US"/>
        </w:rPr>
        <w:t xml:space="preserve"> “Alien domination/subjugation” «covers those situations in which any one Power </w:t>
      </w:r>
      <w:r w:rsidR="00842D99" w:rsidRPr="00842D99">
        <w:rPr>
          <w:rFonts w:asciiTheme="majorHAnsi" w:hAnsiTheme="majorHAnsi"/>
          <w:i/>
          <w:lang w:val="en-US"/>
        </w:rPr>
        <w:t>dominates</w:t>
      </w:r>
      <w:r w:rsidR="00842D99">
        <w:rPr>
          <w:rFonts w:asciiTheme="majorHAnsi" w:hAnsiTheme="majorHAnsi"/>
          <w:lang w:val="en-US"/>
        </w:rPr>
        <w:t xml:space="preserve"> the people of a foreign territory by recourse to force» (Antonio Cassese, </w:t>
      </w:r>
      <w:r w:rsidR="00842D99" w:rsidRPr="00842D99">
        <w:rPr>
          <w:rFonts w:asciiTheme="majorHAnsi" w:hAnsiTheme="majorHAnsi"/>
          <w:i/>
          <w:lang w:val="en-US"/>
        </w:rPr>
        <w:t>Self-Determination of Peoples</w:t>
      </w:r>
      <w:r w:rsidR="00842D99">
        <w:rPr>
          <w:rFonts w:asciiTheme="majorHAnsi" w:hAnsiTheme="majorHAnsi"/>
          <w:lang w:val="en-US"/>
        </w:rPr>
        <w:t>, Cambridge, 1995, p. 99).</w:t>
      </w:r>
    </w:p>
    <w:p w:rsidR="00197695" w:rsidRDefault="00197695" w:rsidP="00262E0B">
      <w:pPr>
        <w:jc w:val="both"/>
        <w:rPr>
          <w:rFonts w:asciiTheme="majorHAnsi" w:hAnsiTheme="majorHAnsi"/>
          <w:lang w:val="en-US"/>
        </w:rPr>
      </w:pPr>
    </w:p>
    <w:p w:rsidR="00197695" w:rsidRPr="00262E0B" w:rsidRDefault="00197695" w:rsidP="00262E0B">
      <w:pPr>
        <w:jc w:val="both"/>
        <w:rPr>
          <w:rFonts w:asciiTheme="majorHAnsi" w:hAnsiTheme="majorHAnsi"/>
          <w:lang w:val="en-US"/>
        </w:rPr>
      </w:pPr>
      <w:bookmarkStart w:id="0" w:name="_GoBack"/>
      <w:bookmarkEnd w:id="0"/>
    </w:p>
    <w:p w:rsidR="00262E0B" w:rsidRPr="00B73721" w:rsidRDefault="00262E0B" w:rsidP="00B92291">
      <w:pPr>
        <w:pStyle w:val="Paragrafoelenco"/>
        <w:numPr>
          <w:ilvl w:val="0"/>
          <w:numId w:val="3"/>
        </w:numPr>
        <w:jc w:val="both"/>
        <w:rPr>
          <w:rFonts w:asciiTheme="majorHAnsi" w:hAnsiTheme="majorHAnsi"/>
          <w:b/>
          <w:u w:val="single"/>
          <w:lang w:val="en-US"/>
        </w:rPr>
      </w:pPr>
      <w:proofErr w:type="spellStart"/>
      <w:r w:rsidRPr="00B73721">
        <w:rPr>
          <w:rFonts w:asciiTheme="majorHAnsi" w:hAnsiTheme="majorHAnsi"/>
          <w:b/>
          <w:u w:val="single"/>
          <w:lang w:val="en-US"/>
        </w:rPr>
        <w:lastRenderedPageBreak/>
        <w:t>Chagos</w:t>
      </w:r>
      <w:proofErr w:type="spellEnd"/>
      <w:r w:rsidRPr="00B73721">
        <w:rPr>
          <w:rFonts w:asciiTheme="majorHAnsi" w:hAnsiTheme="majorHAnsi"/>
          <w:b/>
          <w:u w:val="single"/>
          <w:lang w:val="en-US"/>
        </w:rPr>
        <w:t xml:space="preserve"> Islands</w:t>
      </w:r>
    </w:p>
    <w:p w:rsidR="00262E0B" w:rsidRPr="00B73721" w:rsidRDefault="00262E0B" w:rsidP="00262E0B">
      <w:pPr>
        <w:jc w:val="both"/>
        <w:rPr>
          <w:rFonts w:asciiTheme="majorHAnsi" w:hAnsiTheme="majorHAnsi"/>
          <w:b/>
          <w:lang w:val="en-US"/>
        </w:rPr>
      </w:pPr>
      <w:r w:rsidRPr="00B73721">
        <w:rPr>
          <w:rFonts w:asciiTheme="majorHAnsi" w:hAnsiTheme="majorHAnsi"/>
          <w:b/>
          <w:lang w:val="en-US"/>
        </w:rPr>
        <w:t>On this issue see now the opinion of the International Court of Justice, delivered on 25 February 2019, a summary of which can be read here:</w:t>
      </w:r>
      <w:r w:rsidRPr="00B73721">
        <w:rPr>
          <w:b/>
          <w:lang w:val="en-US"/>
        </w:rPr>
        <w:t xml:space="preserve"> </w:t>
      </w:r>
      <w:hyperlink r:id="rId16" w:history="1">
        <w:r w:rsidRPr="00B73721">
          <w:rPr>
            <w:rStyle w:val="Collegamentoipertestuale"/>
            <w:b/>
            <w:lang w:val="en-US"/>
          </w:rPr>
          <w:t>https://www.icj-cij.org/en/case/169</w:t>
        </w:r>
      </w:hyperlink>
      <w:r w:rsidRPr="00B73721">
        <w:rPr>
          <w:b/>
          <w:lang w:val="en-US"/>
        </w:rPr>
        <w:t xml:space="preserve"> </w:t>
      </w:r>
      <w:r w:rsidRPr="00B73721">
        <w:rPr>
          <w:rFonts w:asciiTheme="majorHAnsi" w:hAnsiTheme="majorHAnsi"/>
          <w:b/>
          <w:lang w:val="en-US"/>
        </w:rPr>
        <w:t xml:space="preserve"> </w:t>
      </w:r>
    </w:p>
    <w:p w:rsidR="00B92291" w:rsidRPr="00B73721" w:rsidRDefault="00B92291" w:rsidP="00B92291">
      <w:pPr>
        <w:pStyle w:val="Paragrafoelenco"/>
        <w:numPr>
          <w:ilvl w:val="0"/>
          <w:numId w:val="3"/>
        </w:numPr>
        <w:jc w:val="both"/>
        <w:rPr>
          <w:rFonts w:asciiTheme="majorHAnsi" w:hAnsiTheme="majorHAnsi"/>
          <w:b/>
          <w:u w:val="single"/>
          <w:lang w:val="en-US"/>
        </w:rPr>
      </w:pPr>
      <w:r w:rsidRPr="00B73721">
        <w:rPr>
          <w:rFonts w:asciiTheme="majorHAnsi" w:hAnsiTheme="majorHAnsi"/>
          <w:b/>
          <w:u w:val="single"/>
          <w:lang w:val="en-US"/>
        </w:rPr>
        <w:t>Definition of self-executing treaty provisions</w:t>
      </w:r>
    </w:p>
    <w:p w:rsidR="00B92291" w:rsidRPr="00B73721" w:rsidRDefault="00B92291" w:rsidP="00B92291">
      <w:pPr>
        <w:jc w:val="both"/>
        <w:rPr>
          <w:rFonts w:asciiTheme="majorHAnsi" w:hAnsiTheme="majorHAnsi"/>
          <w:b/>
          <w:lang w:val="en-US"/>
        </w:rPr>
      </w:pPr>
      <w:r w:rsidRPr="00B73721">
        <w:rPr>
          <w:rFonts w:asciiTheme="majorHAnsi" w:hAnsiTheme="majorHAnsi"/>
          <w:b/>
          <w:lang w:val="en-US"/>
        </w:rPr>
        <w:t>Treaty provisions can be considered as having a self-executing character if: 1) they are worded in a specific/detailed way that makes them capable, taking also account of the purpose and context, of being applied directly; 2) they were intended to confer enforceable rights and obligations on individuals. National courts play a very important role in this context. Note that in European Union law the question has a special relevance and is dealt following EU law-specific legal principles.</w:t>
      </w:r>
    </w:p>
    <w:sectPr w:rsidR="00B92291" w:rsidRPr="00B73721">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F4" w:rsidRDefault="00814AF4" w:rsidP="005107BC">
      <w:pPr>
        <w:spacing w:after="0" w:line="240" w:lineRule="auto"/>
      </w:pPr>
      <w:r>
        <w:separator/>
      </w:r>
    </w:p>
  </w:endnote>
  <w:endnote w:type="continuationSeparator" w:id="0">
    <w:p w:rsidR="00814AF4" w:rsidRDefault="00814AF4" w:rsidP="0051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8678"/>
      <w:docPartObj>
        <w:docPartGallery w:val="Page Numbers (Bottom of Page)"/>
        <w:docPartUnique/>
      </w:docPartObj>
    </w:sdtPr>
    <w:sdtEndPr/>
    <w:sdtContent>
      <w:p w:rsidR="005107BC" w:rsidRDefault="005107BC">
        <w:pPr>
          <w:pStyle w:val="Pidipagina"/>
          <w:jc w:val="right"/>
        </w:pPr>
        <w:r>
          <w:fldChar w:fldCharType="begin"/>
        </w:r>
        <w:r>
          <w:instrText>PAGE   \* MERGEFORMAT</w:instrText>
        </w:r>
        <w:r>
          <w:fldChar w:fldCharType="separate"/>
        </w:r>
        <w:r w:rsidR="005D185C">
          <w:rPr>
            <w:noProof/>
          </w:rPr>
          <w:t>6</w:t>
        </w:r>
        <w:r>
          <w:fldChar w:fldCharType="end"/>
        </w:r>
      </w:p>
    </w:sdtContent>
  </w:sdt>
  <w:p w:rsidR="005107BC" w:rsidRDefault="005107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F4" w:rsidRDefault="00814AF4" w:rsidP="005107BC">
      <w:pPr>
        <w:spacing w:after="0" w:line="240" w:lineRule="auto"/>
      </w:pPr>
      <w:r>
        <w:separator/>
      </w:r>
    </w:p>
  </w:footnote>
  <w:footnote w:type="continuationSeparator" w:id="0">
    <w:p w:rsidR="00814AF4" w:rsidRDefault="00814AF4" w:rsidP="005107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B86"/>
    <w:multiLevelType w:val="hybridMultilevel"/>
    <w:tmpl w:val="176873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FE120A"/>
    <w:multiLevelType w:val="hybridMultilevel"/>
    <w:tmpl w:val="E54C2B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0231FCC"/>
    <w:multiLevelType w:val="hybridMultilevel"/>
    <w:tmpl w:val="B3241E78"/>
    <w:lvl w:ilvl="0" w:tplc="46A48188">
      <w:start w:val="11"/>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2036CD"/>
    <w:multiLevelType w:val="hybridMultilevel"/>
    <w:tmpl w:val="1D8A7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710040A"/>
    <w:multiLevelType w:val="hybridMultilevel"/>
    <w:tmpl w:val="5D6C614C"/>
    <w:lvl w:ilvl="0" w:tplc="DBC82360">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E780C58"/>
    <w:multiLevelType w:val="hybridMultilevel"/>
    <w:tmpl w:val="81CE30A4"/>
    <w:lvl w:ilvl="0" w:tplc="2D08E36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74C21801"/>
    <w:multiLevelType w:val="hybridMultilevel"/>
    <w:tmpl w:val="A8DC93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E073107"/>
    <w:multiLevelType w:val="hybridMultilevel"/>
    <w:tmpl w:val="158E6A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F4"/>
    <w:rsid w:val="00005E4F"/>
    <w:rsid w:val="00010BA3"/>
    <w:rsid w:val="000155D6"/>
    <w:rsid w:val="00050D9D"/>
    <w:rsid w:val="00051148"/>
    <w:rsid w:val="000519D1"/>
    <w:rsid w:val="00051A90"/>
    <w:rsid w:val="00053D5D"/>
    <w:rsid w:val="000641B4"/>
    <w:rsid w:val="00071C35"/>
    <w:rsid w:val="00084B1F"/>
    <w:rsid w:val="0008535D"/>
    <w:rsid w:val="000A362B"/>
    <w:rsid w:val="000A4FFD"/>
    <w:rsid w:val="000B31BB"/>
    <w:rsid w:val="000C176D"/>
    <w:rsid w:val="000C4F85"/>
    <w:rsid w:val="000D3272"/>
    <w:rsid w:val="000D799E"/>
    <w:rsid w:val="000F2FEC"/>
    <w:rsid w:val="000F3065"/>
    <w:rsid w:val="000F792B"/>
    <w:rsid w:val="00124803"/>
    <w:rsid w:val="00136E8D"/>
    <w:rsid w:val="0013750A"/>
    <w:rsid w:val="00153EA7"/>
    <w:rsid w:val="00175261"/>
    <w:rsid w:val="00185EF1"/>
    <w:rsid w:val="0019415D"/>
    <w:rsid w:val="00197695"/>
    <w:rsid w:val="001A5FFF"/>
    <w:rsid w:val="001B3A7C"/>
    <w:rsid w:val="001C7129"/>
    <w:rsid w:val="001D2ED1"/>
    <w:rsid w:val="001D792E"/>
    <w:rsid w:val="001F428C"/>
    <w:rsid w:val="00227A32"/>
    <w:rsid w:val="00232A60"/>
    <w:rsid w:val="0023382F"/>
    <w:rsid w:val="00242C33"/>
    <w:rsid w:val="00243D57"/>
    <w:rsid w:val="0024519A"/>
    <w:rsid w:val="002561A1"/>
    <w:rsid w:val="00262E0B"/>
    <w:rsid w:val="00267F31"/>
    <w:rsid w:val="00272347"/>
    <w:rsid w:val="00280394"/>
    <w:rsid w:val="00283E16"/>
    <w:rsid w:val="00291AC9"/>
    <w:rsid w:val="00293045"/>
    <w:rsid w:val="00295696"/>
    <w:rsid w:val="00296075"/>
    <w:rsid w:val="00296E02"/>
    <w:rsid w:val="00297686"/>
    <w:rsid w:val="00297D37"/>
    <w:rsid w:val="002B7190"/>
    <w:rsid w:val="002B7BB0"/>
    <w:rsid w:val="002C252D"/>
    <w:rsid w:val="002D1D35"/>
    <w:rsid w:val="002D6204"/>
    <w:rsid w:val="002F72D6"/>
    <w:rsid w:val="002F760A"/>
    <w:rsid w:val="00303198"/>
    <w:rsid w:val="003049F9"/>
    <w:rsid w:val="00316B98"/>
    <w:rsid w:val="00340638"/>
    <w:rsid w:val="003479B7"/>
    <w:rsid w:val="00347DDB"/>
    <w:rsid w:val="00362E48"/>
    <w:rsid w:val="00372E61"/>
    <w:rsid w:val="003843FC"/>
    <w:rsid w:val="00385968"/>
    <w:rsid w:val="00386CEA"/>
    <w:rsid w:val="0039639A"/>
    <w:rsid w:val="003A6A87"/>
    <w:rsid w:val="003C3C70"/>
    <w:rsid w:val="003D0210"/>
    <w:rsid w:val="003F127F"/>
    <w:rsid w:val="003F1FA0"/>
    <w:rsid w:val="003F518D"/>
    <w:rsid w:val="003F5C3C"/>
    <w:rsid w:val="00411683"/>
    <w:rsid w:val="004231A2"/>
    <w:rsid w:val="004249A1"/>
    <w:rsid w:val="004603EB"/>
    <w:rsid w:val="004802CA"/>
    <w:rsid w:val="004A591D"/>
    <w:rsid w:val="004A688F"/>
    <w:rsid w:val="004B436C"/>
    <w:rsid w:val="004D726B"/>
    <w:rsid w:val="004E2C9A"/>
    <w:rsid w:val="004F69AE"/>
    <w:rsid w:val="005107BC"/>
    <w:rsid w:val="00520232"/>
    <w:rsid w:val="005323C6"/>
    <w:rsid w:val="00542F54"/>
    <w:rsid w:val="00552AC5"/>
    <w:rsid w:val="00584FE6"/>
    <w:rsid w:val="005853EE"/>
    <w:rsid w:val="00594F17"/>
    <w:rsid w:val="00596CE3"/>
    <w:rsid w:val="005A18FF"/>
    <w:rsid w:val="005B119E"/>
    <w:rsid w:val="005B2198"/>
    <w:rsid w:val="005B2AAA"/>
    <w:rsid w:val="005B32B6"/>
    <w:rsid w:val="005C10E2"/>
    <w:rsid w:val="005D185C"/>
    <w:rsid w:val="005D3B20"/>
    <w:rsid w:val="005D4B25"/>
    <w:rsid w:val="005E5DF3"/>
    <w:rsid w:val="006136D0"/>
    <w:rsid w:val="0062724F"/>
    <w:rsid w:val="00636B31"/>
    <w:rsid w:val="006460B4"/>
    <w:rsid w:val="0066395B"/>
    <w:rsid w:val="006706BE"/>
    <w:rsid w:val="00683595"/>
    <w:rsid w:val="006964C5"/>
    <w:rsid w:val="00697CF6"/>
    <w:rsid w:val="006A3EB6"/>
    <w:rsid w:val="006C6BB3"/>
    <w:rsid w:val="006D0755"/>
    <w:rsid w:val="006D6549"/>
    <w:rsid w:val="006D6FA0"/>
    <w:rsid w:val="006F1A02"/>
    <w:rsid w:val="007147A5"/>
    <w:rsid w:val="00714898"/>
    <w:rsid w:val="00726B42"/>
    <w:rsid w:val="00732A04"/>
    <w:rsid w:val="00733A21"/>
    <w:rsid w:val="00733B17"/>
    <w:rsid w:val="00733DBF"/>
    <w:rsid w:val="00745CCF"/>
    <w:rsid w:val="00764EFE"/>
    <w:rsid w:val="00766A38"/>
    <w:rsid w:val="007840EC"/>
    <w:rsid w:val="00785793"/>
    <w:rsid w:val="00791614"/>
    <w:rsid w:val="007C1D6E"/>
    <w:rsid w:val="007C22C3"/>
    <w:rsid w:val="007D5193"/>
    <w:rsid w:val="007D5303"/>
    <w:rsid w:val="00814AED"/>
    <w:rsid w:val="00814AF4"/>
    <w:rsid w:val="00820720"/>
    <w:rsid w:val="0082390C"/>
    <w:rsid w:val="00827D0A"/>
    <w:rsid w:val="00833C31"/>
    <w:rsid w:val="00842D99"/>
    <w:rsid w:val="00843A5F"/>
    <w:rsid w:val="00850727"/>
    <w:rsid w:val="0086752A"/>
    <w:rsid w:val="008719F4"/>
    <w:rsid w:val="00872554"/>
    <w:rsid w:val="0087499D"/>
    <w:rsid w:val="0088300A"/>
    <w:rsid w:val="00883126"/>
    <w:rsid w:val="00891D8D"/>
    <w:rsid w:val="008A4C61"/>
    <w:rsid w:val="008B0211"/>
    <w:rsid w:val="008D171B"/>
    <w:rsid w:val="008E0DFD"/>
    <w:rsid w:val="00907DD7"/>
    <w:rsid w:val="009254F8"/>
    <w:rsid w:val="00925EB1"/>
    <w:rsid w:val="00925FD7"/>
    <w:rsid w:val="009422F0"/>
    <w:rsid w:val="00943216"/>
    <w:rsid w:val="00951AD0"/>
    <w:rsid w:val="00954AE2"/>
    <w:rsid w:val="00961FA0"/>
    <w:rsid w:val="0097502D"/>
    <w:rsid w:val="009A3395"/>
    <w:rsid w:val="009A70AC"/>
    <w:rsid w:val="009B2270"/>
    <w:rsid w:val="009C27D4"/>
    <w:rsid w:val="009D3D07"/>
    <w:rsid w:val="009E7376"/>
    <w:rsid w:val="009F030A"/>
    <w:rsid w:val="00A03BD6"/>
    <w:rsid w:val="00A0522B"/>
    <w:rsid w:val="00A16148"/>
    <w:rsid w:val="00A16B64"/>
    <w:rsid w:val="00A21791"/>
    <w:rsid w:val="00A2411E"/>
    <w:rsid w:val="00A403B2"/>
    <w:rsid w:val="00A42C99"/>
    <w:rsid w:val="00A52AFB"/>
    <w:rsid w:val="00A52B99"/>
    <w:rsid w:val="00A63015"/>
    <w:rsid w:val="00A7290B"/>
    <w:rsid w:val="00A9443B"/>
    <w:rsid w:val="00AB16EB"/>
    <w:rsid w:val="00AB5D1B"/>
    <w:rsid w:val="00AD57A2"/>
    <w:rsid w:val="00AD7C3D"/>
    <w:rsid w:val="00AE5268"/>
    <w:rsid w:val="00B00D62"/>
    <w:rsid w:val="00B0245A"/>
    <w:rsid w:val="00B0331C"/>
    <w:rsid w:val="00B07193"/>
    <w:rsid w:val="00B14565"/>
    <w:rsid w:val="00B15E0E"/>
    <w:rsid w:val="00B225FA"/>
    <w:rsid w:val="00B44EF5"/>
    <w:rsid w:val="00B57A97"/>
    <w:rsid w:val="00B65C7A"/>
    <w:rsid w:val="00B70153"/>
    <w:rsid w:val="00B73721"/>
    <w:rsid w:val="00B7761F"/>
    <w:rsid w:val="00B91208"/>
    <w:rsid w:val="00B91787"/>
    <w:rsid w:val="00B92291"/>
    <w:rsid w:val="00BA3366"/>
    <w:rsid w:val="00BA5AB0"/>
    <w:rsid w:val="00BB1C9C"/>
    <w:rsid w:val="00BB58CD"/>
    <w:rsid w:val="00BC37BD"/>
    <w:rsid w:val="00BC3B73"/>
    <w:rsid w:val="00BD24B1"/>
    <w:rsid w:val="00BD711F"/>
    <w:rsid w:val="00BE34FB"/>
    <w:rsid w:val="00BE72BD"/>
    <w:rsid w:val="00C24738"/>
    <w:rsid w:val="00C27170"/>
    <w:rsid w:val="00C354A9"/>
    <w:rsid w:val="00C36DEB"/>
    <w:rsid w:val="00C40F15"/>
    <w:rsid w:val="00C41D2C"/>
    <w:rsid w:val="00C46DED"/>
    <w:rsid w:val="00C50E74"/>
    <w:rsid w:val="00C71459"/>
    <w:rsid w:val="00C7654C"/>
    <w:rsid w:val="00CB2342"/>
    <w:rsid w:val="00CD370B"/>
    <w:rsid w:val="00CD3C32"/>
    <w:rsid w:val="00CE38ED"/>
    <w:rsid w:val="00CE4254"/>
    <w:rsid w:val="00D00DDC"/>
    <w:rsid w:val="00D03461"/>
    <w:rsid w:val="00D05A35"/>
    <w:rsid w:val="00D10039"/>
    <w:rsid w:val="00D319B5"/>
    <w:rsid w:val="00D31EB7"/>
    <w:rsid w:val="00D3395D"/>
    <w:rsid w:val="00D46930"/>
    <w:rsid w:val="00D65ED9"/>
    <w:rsid w:val="00D676F3"/>
    <w:rsid w:val="00D70C72"/>
    <w:rsid w:val="00DA1749"/>
    <w:rsid w:val="00DB3380"/>
    <w:rsid w:val="00DC78BB"/>
    <w:rsid w:val="00DD098F"/>
    <w:rsid w:val="00DE69BF"/>
    <w:rsid w:val="00DF0AC1"/>
    <w:rsid w:val="00DF36D2"/>
    <w:rsid w:val="00DF6C74"/>
    <w:rsid w:val="00E041D1"/>
    <w:rsid w:val="00E04FF4"/>
    <w:rsid w:val="00E0785B"/>
    <w:rsid w:val="00E27659"/>
    <w:rsid w:val="00E332E9"/>
    <w:rsid w:val="00E528A7"/>
    <w:rsid w:val="00E53A18"/>
    <w:rsid w:val="00E643EF"/>
    <w:rsid w:val="00E7018D"/>
    <w:rsid w:val="00E91CFA"/>
    <w:rsid w:val="00E936B6"/>
    <w:rsid w:val="00E93F02"/>
    <w:rsid w:val="00EF1CD4"/>
    <w:rsid w:val="00EF3818"/>
    <w:rsid w:val="00EF698D"/>
    <w:rsid w:val="00F0303D"/>
    <w:rsid w:val="00F153D2"/>
    <w:rsid w:val="00F23FD4"/>
    <w:rsid w:val="00F41ADA"/>
    <w:rsid w:val="00F42225"/>
    <w:rsid w:val="00F66EA6"/>
    <w:rsid w:val="00F71D7F"/>
    <w:rsid w:val="00F73AA4"/>
    <w:rsid w:val="00F76D94"/>
    <w:rsid w:val="00F80A7B"/>
    <w:rsid w:val="00F81107"/>
    <w:rsid w:val="00F91CC3"/>
    <w:rsid w:val="00F931C4"/>
    <w:rsid w:val="00FB2EE9"/>
    <w:rsid w:val="00FC4135"/>
    <w:rsid w:val="00FD3E03"/>
    <w:rsid w:val="00FD4590"/>
    <w:rsid w:val="00FD7404"/>
    <w:rsid w:val="00FE5495"/>
    <w:rsid w:val="00FF1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2270"/>
    <w:pPr>
      <w:ind w:left="720"/>
      <w:contextualSpacing/>
    </w:pPr>
  </w:style>
  <w:style w:type="paragraph" w:styleId="Intestazione">
    <w:name w:val="header"/>
    <w:basedOn w:val="Normale"/>
    <w:link w:val="IntestazioneCarattere"/>
    <w:uiPriority w:val="99"/>
    <w:unhideWhenUsed/>
    <w:rsid w:val="005107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07BC"/>
  </w:style>
  <w:style w:type="paragraph" w:styleId="Pidipagina">
    <w:name w:val="footer"/>
    <w:basedOn w:val="Normale"/>
    <w:link w:val="PidipaginaCarattere"/>
    <w:uiPriority w:val="99"/>
    <w:unhideWhenUsed/>
    <w:rsid w:val="005107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07BC"/>
  </w:style>
  <w:style w:type="character" w:styleId="Collegamentoipertestuale">
    <w:name w:val="Hyperlink"/>
    <w:basedOn w:val="Carpredefinitoparagrafo"/>
    <w:uiPriority w:val="99"/>
    <w:unhideWhenUsed/>
    <w:rsid w:val="00E7018D"/>
    <w:rPr>
      <w:color w:val="0000FF" w:themeColor="hyperlink"/>
      <w:u w:val="single"/>
    </w:rPr>
  </w:style>
  <w:style w:type="paragraph" w:styleId="Testofumetto">
    <w:name w:val="Balloon Text"/>
    <w:basedOn w:val="Normale"/>
    <w:link w:val="TestofumettoCarattere"/>
    <w:uiPriority w:val="99"/>
    <w:semiHidden/>
    <w:unhideWhenUsed/>
    <w:rsid w:val="00227A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A32"/>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D7C3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7C3D"/>
    <w:rPr>
      <w:sz w:val="20"/>
      <w:szCs w:val="20"/>
    </w:rPr>
  </w:style>
  <w:style w:type="character" w:styleId="Rimandonotaapidipagina">
    <w:name w:val="footnote reference"/>
    <w:basedOn w:val="Carpredefinitoparagrafo"/>
    <w:uiPriority w:val="99"/>
    <w:semiHidden/>
    <w:unhideWhenUsed/>
    <w:rsid w:val="00AD7C3D"/>
    <w:rPr>
      <w:vertAlign w:val="superscript"/>
    </w:rPr>
  </w:style>
  <w:style w:type="character" w:styleId="Collegamentovisitato">
    <w:name w:val="FollowedHyperlink"/>
    <w:basedOn w:val="Carpredefinitoparagrafo"/>
    <w:uiPriority w:val="99"/>
    <w:semiHidden/>
    <w:unhideWhenUsed/>
    <w:rsid w:val="00A052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2270"/>
    <w:pPr>
      <w:ind w:left="720"/>
      <w:contextualSpacing/>
    </w:pPr>
  </w:style>
  <w:style w:type="paragraph" w:styleId="Intestazione">
    <w:name w:val="header"/>
    <w:basedOn w:val="Normale"/>
    <w:link w:val="IntestazioneCarattere"/>
    <w:uiPriority w:val="99"/>
    <w:unhideWhenUsed/>
    <w:rsid w:val="005107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07BC"/>
  </w:style>
  <w:style w:type="paragraph" w:styleId="Pidipagina">
    <w:name w:val="footer"/>
    <w:basedOn w:val="Normale"/>
    <w:link w:val="PidipaginaCarattere"/>
    <w:uiPriority w:val="99"/>
    <w:unhideWhenUsed/>
    <w:rsid w:val="005107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07BC"/>
  </w:style>
  <w:style w:type="character" w:styleId="Collegamentoipertestuale">
    <w:name w:val="Hyperlink"/>
    <w:basedOn w:val="Carpredefinitoparagrafo"/>
    <w:uiPriority w:val="99"/>
    <w:unhideWhenUsed/>
    <w:rsid w:val="00E7018D"/>
    <w:rPr>
      <w:color w:val="0000FF" w:themeColor="hyperlink"/>
      <w:u w:val="single"/>
    </w:rPr>
  </w:style>
  <w:style w:type="paragraph" w:styleId="Testofumetto">
    <w:name w:val="Balloon Text"/>
    <w:basedOn w:val="Normale"/>
    <w:link w:val="TestofumettoCarattere"/>
    <w:uiPriority w:val="99"/>
    <w:semiHidden/>
    <w:unhideWhenUsed/>
    <w:rsid w:val="00227A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A32"/>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D7C3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7C3D"/>
    <w:rPr>
      <w:sz w:val="20"/>
      <w:szCs w:val="20"/>
    </w:rPr>
  </w:style>
  <w:style w:type="character" w:styleId="Rimandonotaapidipagina">
    <w:name w:val="footnote reference"/>
    <w:basedOn w:val="Carpredefinitoparagrafo"/>
    <w:uiPriority w:val="99"/>
    <w:semiHidden/>
    <w:unhideWhenUsed/>
    <w:rsid w:val="00AD7C3D"/>
    <w:rPr>
      <w:vertAlign w:val="superscript"/>
    </w:rPr>
  </w:style>
  <w:style w:type="character" w:styleId="Collegamentovisitato">
    <w:name w:val="FollowedHyperlink"/>
    <w:basedOn w:val="Carpredefinitoparagrafo"/>
    <w:uiPriority w:val="99"/>
    <w:semiHidden/>
    <w:unhideWhenUsed/>
    <w:rsid w:val="00A052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cacases.com/web/sendAttach/15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bbc.co.uk/2/shared/bsp/hi/pdfs/30_09_09_iiffmgc_repor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j-cij.org/en/case/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binternet.ohchr.org/_layouts/treatybodyexternal/TBSearch.aspx?Lang=en&amp;TreatyID=8&amp;DocTypeID=45&amp;DocTypeID=29" TargetMode="External"/><Relationship Id="rId5" Type="http://schemas.openxmlformats.org/officeDocument/2006/relationships/settings" Target="settings.xml"/><Relationship Id="rId15" Type="http://schemas.openxmlformats.org/officeDocument/2006/relationships/hyperlink" Target="http://www.iraqinquiry.org.uk/" TargetMode="External"/><Relationship Id="rId10" Type="http://schemas.openxmlformats.org/officeDocument/2006/relationships/hyperlink" Target="http://www.mfa-ks.net/en/politika/483/njohjet-ndrkombtare-t-republiks-s-kosovs/48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fa.gov.tw/en/default.html" TargetMode="External"/><Relationship Id="rId14" Type="http://schemas.openxmlformats.org/officeDocument/2006/relationships/hyperlink" Target="https://pcacases.com/web/sendAttach/18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B230-2064-41E8-AA89-D1167B6B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3586</Words>
  <Characters>20445</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11</cp:revision>
  <cp:lastPrinted>2017-05-15T09:27:00Z</cp:lastPrinted>
  <dcterms:created xsi:type="dcterms:W3CDTF">2018-12-17T11:43:00Z</dcterms:created>
  <dcterms:modified xsi:type="dcterms:W3CDTF">2019-11-30T15:59:00Z</dcterms:modified>
</cp:coreProperties>
</file>