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E9" w:rsidRPr="00B84519" w:rsidRDefault="007C0B1F" w:rsidP="007C0B1F">
      <w:pPr>
        <w:jc w:val="center"/>
        <w:rPr>
          <w:rFonts w:ascii="Times New Roman" w:hAnsi="Times New Roman" w:cs="Times New Roman"/>
          <w:b/>
          <w:sz w:val="24"/>
          <w:szCs w:val="24"/>
        </w:rPr>
      </w:pPr>
      <w:r w:rsidRPr="00B84519">
        <w:rPr>
          <w:rFonts w:ascii="Times New Roman" w:hAnsi="Times New Roman" w:cs="Times New Roman"/>
          <w:b/>
          <w:sz w:val="24"/>
          <w:szCs w:val="24"/>
        </w:rPr>
        <w:t xml:space="preserve">Il modello di </w:t>
      </w:r>
      <w:proofErr w:type="spellStart"/>
      <w:r w:rsidRPr="00B84519">
        <w:rPr>
          <w:rFonts w:ascii="Times New Roman" w:hAnsi="Times New Roman" w:cs="Times New Roman"/>
          <w:b/>
          <w:sz w:val="24"/>
          <w:szCs w:val="24"/>
        </w:rPr>
        <w:t>Oakeshott</w:t>
      </w:r>
      <w:proofErr w:type="spellEnd"/>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t xml:space="preserve">Michael </w:t>
      </w:r>
      <w:proofErr w:type="spellStart"/>
      <w:r w:rsidRPr="00B84519">
        <w:rPr>
          <w:rFonts w:ascii="Times New Roman" w:hAnsi="Times New Roman" w:cs="Times New Roman"/>
          <w:sz w:val="24"/>
          <w:szCs w:val="24"/>
        </w:rPr>
        <w:t>Oakeshott</w:t>
      </w:r>
      <w:proofErr w:type="spellEnd"/>
      <w:r w:rsidRPr="00B84519">
        <w:rPr>
          <w:rFonts w:ascii="Times New Roman" w:hAnsi="Times New Roman" w:cs="Times New Roman"/>
          <w:sz w:val="24"/>
          <w:szCs w:val="24"/>
        </w:rPr>
        <w:t xml:space="preserve"> (1901-1990) è stato un teorico inglese della politica. Nella sua  opera maggiore (</w:t>
      </w:r>
      <w:r w:rsidRPr="00B84519">
        <w:rPr>
          <w:rFonts w:ascii="Times New Roman" w:hAnsi="Times New Roman" w:cs="Times New Roman"/>
          <w:i/>
          <w:sz w:val="24"/>
          <w:szCs w:val="24"/>
        </w:rPr>
        <w:t>La condotta umana</w:t>
      </w:r>
      <w:r w:rsidRPr="00B84519">
        <w:rPr>
          <w:rFonts w:ascii="Times New Roman" w:hAnsi="Times New Roman" w:cs="Times New Roman"/>
          <w:sz w:val="24"/>
          <w:szCs w:val="24"/>
        </w:rPr>
        <w:t xml:space="preserve">, 1975) ha proposto un modello di lettura generale dell’ordine politico basato sull’idea che la convivenza umana si collochi da sempre entro un campo di tensione delimitato da due concetti </w:t>
      </w:r>
      <w:proofErr w:type="spellStart"/>
      <w:r w:rsidRPr="00B84519">
        <w:rPr>
          <w:rFonts w:ascii="Times New Roman" w:hAnsi="Times New Roman" w:cs="Times New Roman"/>
          <w:sz w:val="24"/>
          <w:szCs w:val="24"/>
        </w:rPr>
        <w:t>idealtipici</w:t>
      </w:r>
      <w:proofErr w:type="spellEnd"/>
      <w:r w:rsidRPr="00B84519">
        <w:rPr>
          <w:rFonts w:ascii="Times New Roman" w:hAnsi="Times New Roman" w:cs="Times New Roman"/>
          <w:sz w:val="24"/>
          <w:szCs w:val="24"/>
        </w:rPr>
        <w:t xml:space="preserve">, la cui presenza è, a suo giudizio, riscontrabile nel corso di tutta quanta l’esperienza storica.  </w:t>
      </w:r>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t xml:space="preserve">Il primo di questi </w:t>
      </w:r>
      <w:proofErr w:type="spellStart"/>
      <w:r w:rsidRPr="00B84519">
        <w:rPr>
          <w:rFonts w:ascii="Times New Roman" w:hAnsi="Times New Roman" w:cs="Times New Roman"/>
          <w:sz w:val="24"/>
          <w:szCs w:val="24"/>
        </w:rPr>
        <w:t>idealtipi</w:t>
      </w:r>
      <w:proofErr w:type="spellEnd"/>
      <w:r w:rsidRPr="00B84519">
        <w:rPr>
          <w:rFonts w:ascii="Times New Roman" w:hAnsi="Times New Roman" w:cs="Times New Roman"/>
          <w:sz w:val="24"/>
          <w:szCs w:val="24"/>
        </w:rPr>
        <w:t xml:space="preserve"> è quello che  vede lo Stato come una “impresa associativa” (</w:t>
      </w:r>
      <w:proofErr w:type="spellStart"/>
      <w:r w:rsidRPr="00B84519">
        <w:rPr>
          <w:rFonts w:ascii="Times New Roman" w:hAnsi="Times New Roman" w:cs="Times New Roman"/>
          <w:i/>
          <w:sz w:val="24"/>
          <w:szCs w:val="24"/>
        </w:rPr>
        <w:t>entreprise</w:t>
      </w:r>
      <w:proofErr w:type="spellEnd"/>
      <w:r w:rsidRPr="00B84519">
        <w:rPr>
          <w:rFonts w:ascii="Times New Roman" w:hAnsi="Times New Roman" w:cs="Times New Roman"/>
          <w:i/>
          <w:sz w:val="24"/>
          <w:szCs w:val="24"/>
        </w:rPr>
        <w:t xml:space="preserve"> </w:t>
      </w:r>
      <w:proofErr w:type="spellStart"/>
      <w:r w:rsidRPr="00B84519">
        <w:rPr>
          <w:rFonts w:ascii="Times New Roman" w:hAnsi="Times New Roman" w:cs="Times New Roman"/>
          <w:i/>
          <w:sz w:val="24"/>
          <w:szCs w:val="24"/>
        </w:rPr>
        <w:t>association</w:t>
      </w:r>
      <w:proofErr w:type="spellEnd"/>
      <w:r w:rsidRPr="00B84519">
        <w:rPr>
          <w:rFonts w:ascii="Times New Roman" w:hAnsi="Times New Roman" w:cs="Times New Roman"/>
          <w:sz w:val="24"/>
          <w:szCs w:val="24"/>
        </w:rPr>
        <w:t xml:space="preserve">) e si può esprimere sinteticamente attraverso il termine latino </w:t>
      </w:r>
      <w:r w:rsidRPr="00B84519">
        <w:rPr>
          <w:rFonts w:ascii="Times New Roman" w:hAnsi="Times New Roman" w:cs="Times New Roman"/>
          <w:b/>
          <w:sz w:val="24"/>
          <w:szCs w:val="24"/>
        </w:rPr>
        <w:t>“</w:t>
      </w:r>
      <w:proofErr w:type="spellStart"/>
      <w:r w:rsidRPr="00B84519">
        <w:rPr>
          <w:rFonts w:ascii="Times New Roman" w:hAnsi="Times New Roman" w:cs="Times New Roman"/>
          <w:b/>
          <w:sz w:val="24"/>
          <w:szCs w:val="24"/>
        </w:rPr>
        <w:t>universitas</w:t>
      </w:r>
      <w:proofErr w:type="spellEnd"/>
      <w:r w:rsidRPr="00B84519">
        <w:rPr>
          <w:rFonts w:ascii="Times New Roman" w:hAnsi="Times New Roman" w:cs="Times New Roman"/>
          <w:b/>
          <w:sz w:val="24"/>
          <w:szCs w:val="24"/>
        </w:rPr>
        <w:t>”</w:t>
      </w:r>
      <w:r w:rsidRPr="00B84519">
        <w:rPr>
          <w:rFonts w:ascii="Times New Roman" w:hAnsi="Times New Roman" w:cs="Times New Roman"/>
          <w:sz w:val="24"/>
          <w:szCs w:val="24"/>
        </w:rPr>
        <w:t>, che in diritto romano indicava grosso modo ciò che noi oggi definiamo una “persona giuridica”. La comunità politica si presenta in questa veste come un soggetto intenzionato, compatto e monocorde, che si pone ed agisce un po’ come un individuo. Essa si costituisce in ordine al perseguimento di certi fini comuni  e tendenzialmente condivisi da tutti quanti i consociati (la difesa</w:t>
      </w:r>
      <w:r w:rsidR="00B84519">
        <w:rPr>
          <w:rFonts w:ascii="Times New Roman" w:hAnsi="Times New Roman" w:cs="Times New Roman"/>
          <w:sz w:val="24"/>
          <w:szCs w:val="24"/>
        </w:rPr>
        <w:t xml:space="preserve"> esterna</w:t>
      </w:r>
      <w:r w:rsidRPr="00B84519">
        <w:rPr>
          <w:rFonts w:ascii="Times New Roman" w:hAnsi="Times New Roman" w:cs="Times New Roman"/>
          <w:sz w:val="24"/>
          <w:szCs w:val="24"/>
        </w:rPr>
        <w:t>, la libertà dell’individuo, il progresso, la salvezza trascendente, il benessere, la difesa della razza, il comunismo etc.). Sul piano istituzionale, il problema principale di una comunità siffatta consiste nell’estrarre, in un modo o nell’altro, una</w:t>
      </w:r>
      <w:bookmarkStart w:id="0" w:name="_GoBack"/>
      <w:r w:rsidRPr="00B84519">
        <w:rPr>
          <w:rFonts w:ascii="Times New Roman" w:hAnsi="Times New Roman" w:cs="Times New Roman"/>
          <w:b/>
          <w:sz w:val="24"/>
          <w:szCs w:val="24"/>
        </w:rPr>
        <w:t xml:space="preserve"> </w:t>
      </w:r>
      <w:r w:rsidRPr="00B84519">
        <w:rPr>
          <w:rFonts w:ascii="Times New Roman" w:hAnsi="Times New Roman" w:cs="Times New Roman"/>
          <w:b/>
          <w:i/>
          <w:sz w:val="24"/>
          <w:szCs w:val="24"/>
        </w:rPr>
        <w:t>volontà comune</w:t>
      </w:r>
      <w:bookmarkEnd w:id="0"/>
      <w:r w:rsidRPr="00B84519">
        <w:rPr>
          <w:rFonts w:ascii="Times New Roman" w:hAnsi="Times New Roman" w:cs="Times New Roman"/>
          <w:i/>
          <w:sz w:val="24"/>
          <w:szCs w:val="24"/>
        </w:rPr>
        <w:t xml:space="preserve"> </w:t>
      </w:r>
      <w:r w:rsidRPr="00B84519">
        <w:rPr>
          <w:rFonts w:ascii="Times New Roman" w:hAnsi="Times New Roman" w:cs="Times New Roman"/>
          <w:sz w:val="24"/>
          <w:szCs w:val="24"/>
        </w:rPr>
        <w:t>dalle tante volontà particolari dei membri della società e nel porla in esecuzione come se essa fosse la volontà di un unico soggetto.</w:t>
      </w:r>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t xml:space="preserve">Il secondo </w:t>
      </w:r>
      <w:proofErr w:type="spellStart"/>
      <w:r w:rsidRPr="00B84519">
        <w:rPr>
          <w:rFonts w:ascii="Times New Roman" w:hAnsi="Times New Roman" w:cs="Times New Roman"/>
          <w:sz w:val="24"/>
          <w:szCs w:val="24"/>
        </w:rPr>
        <w:t>idealtipo</w:t>
      </w:r>
      <w:proofErr w:type="spellEnd"/>
      <w:r w:rsidRPr="00B84519">
        <w:rPr>
          <w:rFonts w:ascii="Times New Roman" w:hAnsi="Times New Roman" w:cs="Times New Roman"/>
          <w:sz w:val="24"/>
          <w:szCs w:val="24"/>
        </w:rPr>
        <w:t xml:space="preserve"> vede invece lo Stato come una associazione multilaterale (</w:t>
      </w:r>
      <w:proofErr w:type="spellStart"/>
      <w:r w:rsidRPr="00B84519">
        <w:rPr>
          <w:rFonts w:ascii="Times New Roman" w:hAnsi="Times New Roman" w:cs="Times New Roman"/>
          <w:i/>
          <w:sz w:val="24"/>
          <w:szCs w:val="24"/>
        </w:rPr>
        <w:t>civil</w:t>
      </w:r>
      <w:proofErr w:type="spellEnd"/>
      <w:r w:rsidRPr="00B84519">
        <w:rPr>
          <w:rFonts w:ascii="Times New Roman" w:hAnsi="Times New Roman" w:cs="Times New Roman"/>
          <w:i/>
          <w:sz w:val="24"/>
          <w:szCs w:val="24"/>
        </w:rPr>
        <w:t xml:space="preserve"> </w:t>
      </w:r>
      <w:proofErr w:type="spellStart"/>
      <w:r w:rsidRPr="00B84519">
        <w:rPr>
          <w:rFonts w:ascii="Times New Roman" w:hAnsi="Times New Roman" w:cs="Times New Roman"/>
          <w:i/>
          <w:sz w:val="24"/>
          <w:szCs w:val="24"/>
        </w:rPr>
        <w:t>association</w:t>
      </w:r>
      <w:proofErr w:type="spellEnd"/>
      <w:r w:rsidRPr="00B84519">
        <w:rPr>
          <w:rFonts w:ascii="Times New Roman" w:hAnsi="Times New Roman" w:cs="Times New Roman"/>
          <w:sz w:val="24"/>
          <w:szCs w:val="24"/>
        </w:rPr>
        <w:t xml:space="preserve">) e si può connotare attraverso il termine latino </w:t>
      </w:r>
      <w:r w:rsidRPr="00B84519">
        <w:rPr>
          <w:rFonts w:ascii="Times New Roman" w:hAnsi="Times New Roman" w:cs="Times New Roman"/>
          <w:b/>
          <w:sz w:val="24"/>
          <w:szCs w:val="24"/>
        </w:rPr>
        <w:t>“</w:t>
      </w:r>
      <w:proofErr w:type="spellStart"/>
      <w:r w:rsidRPr="00B84519">
        <w:rPr>
          <w:rFonts w:ascii="Times New Roman" w:hAnsi="Times New Roman" w:cs="Times New Roman"/>
          <w:b/>
          <w:sz w:val="24"/>
          <w:szCs w:val="24"/>
        </w:rPr>
        <w:t>societas</w:t>
      </w:r>
      <w:proofErr w:type="spellEnd"/>
      <w:r w:rsidRPr="00B84519">
        <w:rPr>
          <w:rFonts w:ascii="Times New Roman" w:hAnsi="Times New Roman" w:cs="Times New Roman"/>
          <w:b/>
          <w:sz w:val="24"/>
          <w:szCs w:val="24"/>
        </w:rPr>
        <w:t>”</w:t>
      </w:r>
      <w:r w:rsidRPr="00B84519">
        <w:rPr>
          <w:rFonts w:ascii="Times New Roman" w:hAnsi="Times New Roman" w:cs="Times New Roman"/>
          <w:sz w:val="24"/>
          <w:szCs w:val="24"/>
        </w:rPr>
        <w:t xml:space="preserve">, che in diritto romano veniva usato ad es. per designare tutte le situazioni di comunione patrimoniale  tra più soggetti o le unioni di natura confederale tra più popoli o città (un esempio banale ma efficace di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tratto dalla vita di oggi è quello del condominio: una forma associativa che non nasce certo da un interesse a convivere insieme, né tantomeno da un progetto di vita associata volutamente perseguito, ma semplicemente dalla inevitabile condivisione di certi spazi ed interessi). La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non trae origine cioè dall’impegno a realizzare certi obbiettivi condivisi (che qui possono anche mancare </w:t>
      </w:r>
      <w:r w:rsidR="00B84519">
        <w:rPr>
          <w:rFonts w:ascii="Times New Roman" w:hAnsi="Times New Roman" w:cs="Times New Roman"/>
          <w:sz w:val="24"/>
          <w:szCs w:val="24"/>
        </w:rPr>
        <w:t>del tutto</w:t>
      </w:r>
      <w:r w:rsidRPr="00B84519">
        <w:rPr>
          <w:rFonts w:ascii="Times New Roman" w:hAnsi="Times New Roman" w:cs="Times New Roman"/>
          <w:sz w:val="24"/>
          <w:szCs w:val="24"/>
        </w:rPr>
        <w:t xml:space="preserve">), ma solo dall’esigenza di far osservare ai membri del gruppo determinate regole indispensabili a garantire l’ordine comune con un sacrificio minimale della autonomia di ciascuno.  Sul piano istituzionale, il problema principale di una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non consiste nel formare e nel manifestare una volontà comune</w:t>
      </w:r>
      <w:r w:rsidR="00B84519">
        <w:rPr>
          <w:rFonts w:ascii="Times New Roman" w:hAnsi="Times New Roman" w:cs="Times New Roman"/>
          <w:sz w:val="24"/>
          <w:szCs w:val="24"/>
        </w:rPr>
        <w:t xml:space="preserve"> tendenzialmente inesistente</w:t>
      </w:r>
      <w:r w:rsidRPr="00B84519">
        <w:rPr>
          <w:rFonts w:ascii="Times New Roman" w:hAnsi="Times New Roman" w:cs="Times New Roman"/>
          <w:sz w:val="24"/>
          <w:szCs w:val="24"/>
        </w:rPr>
        <w:t xml:space="preserve">, ma semmai nel dare a ciascuno il suo: cioè nel </w:t>
      </w:r>
      <w:r w:rsidRPr="00B84519">
        <w:rPr>
          <w:rFonts w:ascii="Times New Roman" w:hAnsi="Times New Roman" w:cs="Times New Roman"/>
          <w:b/>
          <w:i/>
          <w:sz w:val="24"/>
          <w:szCs w:val="24"/>
        </w:rPr>
        <w:t>mantenere un equilibrio</w:t>
      </w:r>
      <w:r w:rsidRPr="00B84519">
        <w:rPr>
          <w:rFonts w:ascii="Times New Roman" w:hAnsi="Times New Roman" w:cs="Times New Roman"/>
          <w:sz w:val="24"/>
          <w:szCs w:val="24"/>
        </w:rPr>
        <w:t xml:space="preserve"> fra tutti gli associati, garantendo la sfera di autonomia di ciascuno di essi rispetto ai possibili sconfinamenti degli altri. </w:t>
      </w:r>
    </w:p>
    <w:p w:rsidR="007C0B1F" w:rsidRPr="00B84519" w:rsidRDefault="007C0B1F">
      <w:pPr>
        <w:rPr>
          <w:rFonts w:ascii="Times New Roman" w:hAnsi="Times New Roman" w:cs="Times New Roman"/>
          <w:sz w:val="24"/>
          <w:szCs w:val="24"/>
        </w:rPr>
      </w:pPr>
      <w:r w:rsidRPr="00B84519">
        <w:rPr>
          <w:rFonts w:ascii="Times New Roman" w:hAnsi="Times New Roman" w:cs="Times New Roman"/>
          <w:b/>
          <w:sz w:val="24"/>
          <w:szCs w:val="24"/>
        </w:rPr>
        <w:t xml:space="preserve">(NB: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e </w:t>
      </w:r>
      <w:proofErr w:type="spellStart"/>
      <w:r w:rsidRPr="00B84519">
        <w:rPr>
          <w:rFonts w:ascii="Times New Roman" w:hAnsi="Times New Roman" w:cs="Times New Roman"/>
          <w:i/>
          <w:sz w:val="24"/>
          <w:szCs w:val="24"/>
        </w:rPr>
        <w:t>universitas</w:t>
      </w:r>
      <w:proofErr w:type="spellEnd"/>
      <w:r w:rsidRPr="00B84519">
        <w:rPr>
          <w:rFonts w:ascii="Times New Roman" w:hAnsi="Times New Roman" w:cs="Times New Roman"/>
          <w:sz w:val="24"/>
          <w:szCs w:val="24"/>
        </w:rPr>
        <w:t xml:space="preserve"> non sono proposti da </w:t>
      </w:r>
      <w:proofErr w:type="spellStart"/>
      <w:r w:rsidRPr="00B84519">
        <w:rPr>
          <w:rFonts w:ascii="Times New Roman" w:hAnsi="Times New Roman" w:cs="Times New Roman"/>
          <w:sz w:val="24"/>
          <w:szCs w:val="24"/>
        </w:rPr>
        <w:t>Oakeshott</w:t>
      </w:r>
      <w:proofErr w:type="spellEnd"/>
      <w:r w:rsidRPr="00B84519">
        <w:rPr>
          <w:rFonts w:ascii="Times New Roman" w:hAnsi="Times New Roman" w:cs="Times New Roman"/>
          <w:sz w:val="24"/>
          <w:szCs w:val="24"/>
        </w:rPr>
        <w:t xml:space="preserve"> come due ordinamenti  ‘reali’, ma solo come i due  estremi di un lungo segmento nell’ambito del quale si distribuiscono le  esperienze storiche empiricamente osservabili. Ogni ordinamento storico, cioè, condivide inevitabilmente, in qualche misura, certi tratti della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ed altri dell’</w:t>
      </w:r>
      <w:proofErr w:type="spellStart"/>
      <w:r w:rsidRPr="00B84519">
        <w:rPr>
          <w:rFonts w:ascii="Times New Roman" w:hAnsi="Times New Roman" w:cs="Times New Roman"/>
          <w:i/>
          <w:sz w:val="24"/>
          <w:szCs w:val="24"/>
        </w:rPr>
        <w:t>universitas</w:t>
      </w:r>
      <w:proofErr w:type="spellEnd"/>
      <w:r w:rsidRPr="00B84519">
        <w:rPr>
          <w:rFonts w:ascii="Times New Roman" w:hAnsi="Times New Roman" w:cs="Times New Roman"/>
          <w:sz w:val="24"/>
          <w:szCs w:val="24"/>
        </w:rPr>
        <w:t>: ma ciò in proporzioni sempre  diverse, che lo collocano ora più vicino all’uno o all’altro dei due estremi (è chiaro per es. che anche un ordinamento a vocazione essenzialmente ‘</w:t>
      </w:r>
      <w:proofErr w:type="spellStart"/>
      <w:r w:rsidRPr="00B84519">
        <w:rPr>
          <w:rFonts w:ascii="Times New Roman" w:hAnsi="Times New Roman" w:cs="Times New Roman"/>
          <w:sz w:val="24"/>
          <w:szCs w:val="24"/>
        </w:rPr>
        <w:t>societaristica</w:t>
      </w:r>
      <w:proofErr w:type="spellEnd"/>
      <w:r w:rsidRPr="00B84519">
        <w:rPr>
          <w:rFonts w:ascii="Times New Roman" w:hAnsi="Times New Roman" w:cs="Times New Roman"/>
          <w:sz w:val="24"/>
          <w:szCs w:val="24"/>
        </w:rPr>
        <w:t>’ non potrà non possedere certi caratteri dell’</w:t>
      </w:r>
      <w:proofErr w:type="spellStart"/>
      <w:r w:rsidRPr="00B84519">
        <w:rPr>
          <w:rFonts w:ascii="Times New Roman" w:hAnsi="Times New Roman" w:cs="Times New Roman"/>
          <w:i/>
          <w:sz w:val="24"/>
          <w:szCs w:val="24"/>
        </w:rPr>
        <w:t>universitas</w:t>
      </w:r>
      <w:proofErr w:type="spellEnd"/>
      <w:r w:rsidRPr="00B84519">
        <w:rPr>
          <w:rFonts w:ascii="Times New Roman" w:hAnsi="Times New Roman" w:cs="Times New Roman"/>
          <w:sz w:val="24"/>
          <w:szCs w:val="24"/>
        </w:rPr>
        <w:t xml:space="preserve">, soprattutto quando esso si trovi a fronteggiare gravi minacce provenienti dall’esterno; mentre nessuna </w:t>
      </w:r>
      <w:proofErr w:type="spellStart"/>
      <w:r w:rsidRPr="00B84519">
        <w:rPr>
          <w:rFonts w:ascii="Times New Roman" w:hAnsi="Times New Roman" w:cs="Times New Roman"/>
          <w:i/>
          <w:sz w:val="24"/>
          <w:szCs w:val="24"/>
        </w:rPr>
        <w:t>universitas</w:t>
      </w:r>
      <w:proofErr w:type="spellEnd"/>
      <w:r w:rsidRPr="00B84519">
        <w:rPr>
          <w:rFonts w:ascii="Times New Roman" w:hAnsi="Times New Roman" w:cs="Times New Roman"/>
          <w:sz w:val="24"/>
          <w:szCs w:val="24"/>
        </w:rPr>
        <w:t xml:space="preserve"> sarà mai così compatta  da eliminare ogni forma di diversificazione o dissenso al proprio interno)). </w:t>
      </w:r>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lastRenderedPageBreak/>
        <w:t xml:space="preserve">Ciò che conta, dal nostro punto di vista, è la relazione che </w:t>
      </w:r>
      <w:proofErr w:type="spellStart"/>
      <w:r w:rsidRPr="00B84519">
        <w:rPr>
          <w:rFonts w:ascii="Times New Roman" w:hAnsi="Times New Roman" w:cs="Times New Roman"/>
          <w:sz w:val="24"/>
          <w:szCs w:val="24"/>
        </w:rPr>
        <w:t>Oakeshott</w:t>
      </w:r>
      <w:proofErr w:type="spellEnd"/>
      <w:r w:rsidRPr="00B84519">
        <w:rPr>
          <w:rFonts w:ascii="Times New Roman" w:hAnsi="Times New Roman" w:cs="Times New Roman"/>
          <w:sz w:val="24"/>
          <w:szCs w:val="24"/>
        </w:rPr>
        <w:t xml:space="preserve"> istituisce tra  i due modelli di </w:t>
      </w:r>
      <w:r w:rsidRPr="00B84519">
        <w:rPr>
          <w:rFonts w:ascii="Times New Roman" w:hAnsi="Times New Roman" w:cs="Times New Roman"/>
          <w:i/>
          <w:sz w:val="24"/>
          <w:szCs w:val="24"/>
        </w:rPr>
        <w:t>costituzione</w:t>
      </w:r>
      <w:r w:rsidRPr="00B84519">
        <w:rPr>
          <w:rFonts w:ascii="Times New Roman" w:hAnsi="Times New Roman" w:cs="Times New Roman"/>
          <w:sz w:val="24"/>
          <w:szCs w:val="24"/>
        </w:rPr>
        <w:t xml:space="preserve">  rispettivamente proposti dai nostri due ordinamenti-tipo e il genere di </w:t>
      </w:r>
      <w:r w:rsidRPr="00B84519">
        <w:rPr>
          <w:rFonts w:ascii="Times New Roman" w:hAnsi="Times New Roman" w:cs="Times New Roman"/>
          <w:i/>
          <w:sz w:val="24"/>
          <w:szCs w:val="24"/>
        </w:rPr>
        <w:t>funzioni</w:t>
      </w:r>
      <w:r w:rsidRPr="00B84519">
        <w:rPr>
          <w:rFonts w:ascii="Times New Roman" w:hAnsi="Times New Roman" w:cs="Times New Roman"/>
          <w:sz w:val="24"/>
          <w:szCs w:val="24"/>
        </w:rPr>
        <w:t xml:space="preserve"> che quei due ordinamenti tendono preferenzialmente ad attribuirsi. </w:t>
      </w:r>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t xml:space="preserve">La costituzione di una associazione umana che si pensi in termini di </w:t>
      </w:r>
      <w:proofErr w:type="spellStart"/>
      <w:r w:rsidRPr="00B84519">
        <w:rPr>
          <w:rFonts w:ascii="Times New Roman" w:hAnsi="Times New Roman" w:cs="Times New Roman"/>
          <w:i/>
          <w:sz w:val="24"/>
          <w:szCs w:val="24"/>
        </w:rPr>
        <w:t>universitas</w:t>
      </w:r>
      <w:proofErr w:type="spellEnd"/>
      <w:r w:rsidRPr="00B84519">
        <w:rPr>
          <w:rFonts w:ascii="Times New Roman" w:hAnsi="Times New Roman" w:cs="Times New Roman"/>
          <w:sz w:val="24"/>
          <w:szCs w:val="24"/>
        </w:rPr>
        <w:t xml:space="preserve"> non potrà non dare un grande rilievo alla questione della </w:t>
      </w:r>
      <w:r w:rsidRPr="00B84519">
        <w:rPr>
          <w:rFonts w:ascii="Times New Roman" w:hAnsi="Times New Roman" w:cs="Times New Roman"/>
          <w:i/>
          <w:sz w:val="24"/>
          <w:szCs w:val="24"/>
        </w:rPr>
        <w:t xml:space="preserve">rappresentanza </w:t>
      </w:r>
      <w:r w:rsidRPr="00B84519">
        <w:rPr>
          <w:rFonts w:ascii="Times New Roman" w:hAnsi="Times New Roman" w:cs="Times New Roman"/>
          <w:sz w:val="24"/>
          <w:szCs w:val="24"/>
        </w:rPr>
        <w:t xml:space="preserve">politica, come tecnica tipica che serve a sintetizzare una volontà generale dalla pluralità della volontà particolari che compongono il corpo sociale. La sua funzione centrale sarà perciò (sempre per esprimerci con dei latinetti) la </w:t>
      </w:r>
      <w:proofErr w:type="spellStart"/>
      <w:r w:rsidRPr="00B84519">
        <w:rPr>
          <w:rFonts w:ascii="Times New Roman" w:hAnsi="Times New Roman" w:cs="Times New Roman"/>
          <w:b/>
          <w:i/>
          <w:sz w:val="24"/>
          <w:szCs w:val="24"/>
        </w:rPr>
        <w:t>legis-latio</w:t>
      </w:r>
      <w:proofErr w:type="spellEnd"/>
      <w:r w:rsidRPr="00B84519">
        <w:rPr>
          <w:rFonts w:ascii="Times New Roman" w:hAnsi="Times New Roman" w:cs="Times New Roman"/>
          <w:sz w:val="24"/>
          <w:szCs w:val="24"/>
        </w:rPr>
        <w:t xml:space="preserve">, intesa come attività di creazione di norme generali nella quale tutti possano riconoscere l’espressione di una volontà che è in qualche misura anche la propria. Il sovrano tende qui a presentarsi come un </w:t>
      </w:r>
      <w:r w:rsidRPr="00B84519">
        <w:rPr>
          <w:rFonts w:ascii="Times New Roman" w:hAnsi="Times New Roman" w:cs="Times New Roman"/>
          <w:b/>
          <w:sz w:val="24"/>
          <w:szCs w:val="24"/>
        </w:rPr>
        <w:t>supremo legislatore</w:t>
      </w:r>
      <w:r w:rsidRPr="00B84519">
        <w:rPr>
          <w:rFonts w:ascii="Times New Roman" w:hAnsi="Times New Roman" w:cs="Times New Roman"/>
          <w:sz w:val="24"/>
          <w:szCs w:val="24"/>
        </w:rPr>
        <w:t xml:space="preserve">, che parla con la voce di tutti. </w:t>
      </w:r>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t xml:space="preserve">Una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idealmente perfetta,  invece, non ha nessun bisogno di dotarsi di un apparato di ‘volizione’ comune. Essa realizza la propria ragion d’essere  semplicemente nel riconoscere e nel far rispettare i diritti di ciascuno contro i tentativi di usurpazione degli altri consociati. La funzione fondamentale non è qui la </w:t>
      </w:r>
      <w:proofErr w:type="spellStart"/>
      <w:r w:rsidRPr="00B84519">
        <w:rPr>
          <w:rFonts w:ascii="Times New Roman" w:hAnsi="Times New Roman" w:cs="Times New Roman"/>
          <w:b/>
          <w:i/>
          <w:sz w:val="24"/>
          <w:szCs w:val="24"/>
        </w:rPr>
        <w:t>legis-latio</w:t>
      </w:r>
      <w:proofErr w:type="spellEnd"/>
      <w:r w:rsidRPr="00B84519">
        <w:rPr>
          <w:rFonts w:ascii="Times New Roman" w:hAnsi="Times New Roman" w:cs="Times New Roman"/>
          <w:sz w:val="24"/>
          <w:szCs w:val="24"/>
        </w:rPr>
        <w:t xml:space="preserve">, ma piuttosto la </w:t>
      </w:r>
      <w:proofErr w:type="spellStart"/>
      <w:r w:rsidRPr="00B84519">
        <w:rPr>
          <w:rFonts w:ascii="Times New Roman" w:hAnsi="Times New Roman" w:cs="Times New Roman"/>
          <w:b/>
          <w:i/>
          <w:sz w:val="24"/>
          <w:szCs w:val="24"/>
        </w:rPr>
        <w:t>iuris-dictio</w:t>
      </w:r>
      <w:proofErr w:type="spellEnd"/>
      <w:r w:rsidRPr="00B84519">
        <w:rPr>
          <w:rFonts w:ascii="Times New Roman" w:hAnsi="Times New Roman" w:cs="Times New Roman"/>
          <w:sz w:val="24"/>
          <w:szCs w:val="24"/>
        </w:rPr>
        <w:t xml:space="preserve">, intesa come attività diretta a risolvere i conflitti tra i membri del gruppo in base ad un diritto oggettivo, che il potere non produce  </w:t>
      </w:r>
      <w:r w:rsidRPr="00B84519">
        <w:rPr>
          <w:rFonts w:ascii="Times New Roman" w:hAnsi="Times New Roman" w:cs="Times New Roman"/>
          <w:i/>
          <w:sz w:val="24"/>
          <w:szCs w:val="24"/>
        </w:rPr>
        <w:t>ex novo</w:t>
      </w:r>
      <w:r w:rsidRPr="00B84519">
        <w:rPr>
          <w:rFonts w:ascii="Times New Roman" w:hAnsi="Times New Roman" w:cs="Times New Roman"/>
          <w:sz w:val="24"/>
          <w:szCs w:val="24"/>
        </w:rPr>
        <w:t xml:space="preserve">, ma che si limita a ‘trovare’, a riconoscere e a dichiarare.  Il sovrano (se così si può chiamare) tende naturalmente ad assumere le sembianze di un </w:t>
      </w:r>
      <w:r w:rsidRPr="00B84519">
        <w:rPr>
          <w:rFonts w:ascii="Times New Roman" w:hAnsi="Times New Roman" w:cs="Times New Roman"/>
          <w:b/>
          <w:sz w:val="24"/>
          <w:szCs w:val="24"/>
        </w:rPr>
        <w:t>giudice supremo</w:t>
      </w:r>
      <w:r w:rsidRPr="00B84519">
        <w:rPr>
          <w:rFonts w:ascii="Times New Roman" w:hAnsi="Times New Roman" w:cs="Times New Roman"/>
          <w:sz w:val="24"/>
          <w:szCs w:val="24"/>
        </w:rPr>
        <w:t xml:space="preserve">. </w:t>
      </w:r>
    </w:p>
    <w:p w:rsidR="007C0B1F" w:rsidRPr="00B84519" w:rsidRDefault="007C0B1F">
      <w:pPr>
        <w:rPr>
          <w:rFonts w:ascii="Times New Roman" w:hAnsi="Times New Roman" w:cs="Times New Roman"/>
          <w:sz w:val="24"/>
          <w:szCs w:val="24"/>
        </w:rPr>
      </w:pPr>
      <w:r w:rsidRPr="00B84519">
        <w:rPr>
          <w:rFonts w:ascii="Times New Roman" w:hAnsi="Times New Roman" w:cs="Times New Roman"/>
          <w:sz w:val="24"/>
          <w:szCs w:val="24"/>
        </w:rPr>
        <w:t xml:space="preserve">In una </w:t>
      </w:r>
      <w:proofErr w:type="spellStart"/>
      <w:r w:rsidRPr="00B84519">
        <w:rPr>
          <w:rFonts w:ascii="Times New Roman" w:hAnsi="Times New Roman" w:cs="Times New Roman"/>
          <w:i/>
          <w:sz w:val="24"/>
          <w:szCs w:val="24"/>
        </w:rPr>
        <w:t>universitas</w:t>
      </w:r>
      <w:proofErr w:type="spellEnd"/>
      <w:r w:rsidRPr="00B84519">
        <w:rPr>
          <w:rFonts w:ascii="Times New Roman" w:hAnsi="Times New Roman" w:cs="Times New Roman"/>
          <w:sz w:val="24"/>
          <w:szCs w:val="24"/>
        </w:rPr>
        <w:t xml:space="preserve">, quindi, la direzione vettoriale del processo di potere procede essenzialmente dall’alto al basso (quel processo consiste nel formare la legge e nel darle esecuzione al fine di realizzare gli obbiettivi previsti dalla costituzione). In una </w:t>
      </w:r>
      <w:proofErr w:type="spellStart"/>
      <w:r w:rsidRPr="00B84519">
        <w:rPr>
          <w:rFonts w:ascii="Times New Roman" w:hAnsi="Times New Roman" w:cs="Times New Roman"/>
          <w:i/>
          <w:sz w:val="24"/>
          <w:szCs w:val="24"/>
        </w:rPr>
        <w:t>societas</w:t>
      </w:r>
      <w:proofErr w:type="spellEnd"/>
      <w:r w:rsidRPr="00B84519">
        <w:rPr>
          <w:rFonts w:ascii="Times New Roman" w:hAnsi="Times New Roman" w:cs="Times New Roman"/>
          <w:sz w:val="24"/>
          <w:szCs w:val="24"/>
        </w:rPr>
        <w:t xml:space="preserve">, invece, che non vive per realizzare alcun obbiettivo proprio, quello stesso processo procede dal basso all’alto: nel senso che sono i consociati a rivolgersi al sovrano perché esso eserciti le sue funzioni arbitrali  quando essi ne hanno necessità. </w:t>
      </w:r>
    </w:p>
    <w:p w:rsidR="007C0B1F" w:rsidRPr="00B84519" w:rsidRDefault="007C0B1F" w:rsidP="007C0B1F">
      <w:pPr>
        <w:rPr>
          <w:rFonts w:ascii="Times New Roman" w:hAnsi="Times New Roman" w:cs="Times New Roman"/>
          <w:sz w:val="24"/>
          <w:szCs w:val="24"/>
        </w:rPr>
      </w:pPr>
      <w:r w:rsidRPr="00B84519">
        <w:rPr>
          <w:rFonts w:ascii="Times New Roman" w:hAnsi="Times New Roman" w:cs="Times New Roman"/>
          <w:sz w:val="24"/>
          <w:szCs w:val="24"/>
        </w:rPr>
        <w:t xml:space="preserve">Questa schematizzazione può riuscire  utile per capire come funzionava uno Stato </w:t>
      </w:r>
      <w:proofErr w:type="spellStart"/>
      <w:r w:rsidRPr="00B84519">
        <w:rPr>
          <w:rFonts w:ascii="Times New Roman" w:hAnsi="Times New Roman" w:cs="Times New Roman"/>
          <w:sz w:val="24"/>
          <w:szCs w:val="24"/>
        </w:rPr>
        <w:t>pre</w:t>
      </w:r>
      <w:proofErr w:type="spellEnd"/>
      <w:r w:rsidRPr="00B84519">
        <w:rPr>
          <w:rFonts w:ascii="Times New Roman" w:hAnsi="Times New Roman" w:cs="Times New Roman"/>
          <w:sz w:val="24"/>
          <w:szCs w:val="24"/>
        </w:rPr>
        <w:t xml:space="preserve">-moderno rispetto ad uno contemporaneo. Benché a fronte della dispersione dell’autorità  caratteristica di tutta la prima parte del medioevo,  quello Stato si presentasse  come un soggetto dalle dimensioni </w:t>
      </w:r>
      <w:r w:rsidR="00B84519">
        <w:rPr>
          <w:rFonts w:ascii="Times New Roman" w:hAnsi="Times New Roman" w:cs="Times New Roman"/>
          <w:sz w:val="24"/>
          <w:szCs w:val="24"/>
        </w:rPr>
        <w:t xml:space="preserve">e dalla densità interna veramente </w:t>
      </w:r>
      <w:r w:rsidRPr="00B84519">
        <w:rPr>
          <w:rFonts w:ascii="Times New Roman" w:hAnsi="Times New Roman" w:cs="Times New Roman"/>
          <w:sz w:val="24"/>
          <w:szCs w:val="24"/>
        </w:rPr>
        <w:t>imponenti, non c’è dubbio che il suo profilo fosse ancora essenzialmente  ‘</w:t>
      </w:r>
      <w:proofErr w:type="spellStart"/>
      <w:r w:rsidRPr="00B84519">
        <w:rPr>
          <w:rFonts w:ascii="Times New Roman" w:hAnsi="Times New Roman" w:cs="Times New Roman"/>
          <w:sz w:val="24"/>
          <w:szCs w:val="24"/>
        </w:rPr>
        <w:t>societaristico</w:t>
      </w:r>
      <w:proofErr w:type="spellEnd"/>
      <w:r w:rsidRPr="00B84519">
        <w:rPr>
          <w:rFonts w:ascii="Times New Roman" w:hAnsi="Times New Roman" w:cs="Times New Roman"/>
          <w:sz w:val="24"/>
          <w:szCs w:val="24"/>
        </w:rPr>
        <w:t>’.  Frutto dell’aggregazione progressiva di una moltitudine di ordinamenti minori,  esso trovava infatti la sua ragion d’essere nel bisogno sociale di un potere superiore che, senza sostituirsi ai corpi preesistenti, ne regolasse i conflitti</w:t>
      </w:r>
      <w:r w:rsidR="00B84519">
        <w:rPr>
          <w:rFonts w:ascii="Times New Roman" w:hAnsi="Times New Roman" w:cs="Times New Roman"/>
          <w:sz w:val="24"/>
          <w:szCs w:val="24"/>
        </w:rPr>
        <w:t>,</w:t>
      </w:r>
      <w:r w:rsidRPr="00B84519">
        <w:rPr>
          <w:rFonts w:ascii="Times New Roman" w:hAnsi="Times New Roman" w:cs="Times New Roman"/>
          <w:sz w:val="24"/>
          <w:szCs w:val="24"/>
        </w:rPr>
        <w:t xml:space="preserve"> imponendo a tutti il rispetto di certe regole comuni. E appunto questo tipo di costituzione plurale e consociativa tendeva automaticamente a confermare la vecchia idea medievale che il potere, nella sua essenza, avesse un contenuto tipicamente </w:t>
      </w:r>
      <w:r w:rsidRPr="00B84519">
        <w:rPr>
          <w:rFonts w:ascii="Times New Roman" w:hAnsi="Times New Roman" w:cs="Times New Roman"/>
          <w:i/>
          <w:sz w:val="24"/>
          <w:szCs w:val="24"/>
        </w:rPr>
        <w:t>giurisdizionale</w:t>
      </w:r>
      <w:r w:rsidRPr="00B84519">
        <w:rPr>
          <w:rFonts w:ascii="Times New Roman" w:hAnsi="Times New Roman" w:cs="Times New Roman"/>
          <w:sz w:val="24"/>
          <w:szCs w:val="24"/>
        </w:rPr>
        <w:t>.  Dal punto di vista di un uomo del medioevo e della prima età moderna, il potere non era tanto pensato come una volontà superiore dotata della forza di imporsi unilateralmente a tutti i propri sottoposti, quanto come un principio di giustizia, capace di garantire  ogni ordinamento particolare dagli assalti dei suoi vicini. E proprio perciò, per un lunghissimo periodo di tempo il termine complessivo col quale si continuò a designare nei suoi termini generali l’esercizio dell’autorità fu quello che già i primi giuristi medievali avevano adottato a questo fine: cioè la parola latina “</w:t>
      </w:r>
      <w:proofErr w:type="spellStart"/>
      <w:r w:rsidRPr="00B84519">
        <w:rPr>
          <w:rFonts w:ascii="Times New Roman" w:hAnsi="Times New Roman" w:cs="Times New Roman"/>
          <w:sz w:val="24"/>
          <w:szCs w:val="24"/>
        </w:rPr>
        <w:t>iurisdictio</w:t>
      </w:r>
      <w:proofErr w:type="spellEnd"/>
      <w:r w:rsidRPr="00B84519">
        <w:rPr>
          <w:rFonts w:ascii="Times New Roman" w:hAnsi="Times New Roman" w:cs="Times New Roman"/>
          <w:sz w:val="24"/>
          <w:szCs w:val="24"/>
        </w:rPr>
        <w:t xml:space="preserve">” – per intendere un potere che non ha mai un contenuto esplicitamente volontaristico, ma che è piuttosto orientato a </w:t>
      </w:r>
      <w:r w:rsidRPr="00B84519">
        <w:rPr>
          <w:rFonts w:ascii="Times New Roman" w:hAnsi="Times New Roman" w:cs="Times New Roman"/>
          <w:i/>
          <w:sz w:val="24"/>
          <w:szCs w:val="24"/>
        </w:rPr>
        <w:t>reintegrare un ordine giuridico violato</w:t>
      </w:r>
      <w:r w:rsidRPr="00B84519">
        <w:rPr>
          <w:rFonts w:ascii="Times New Roman" w:hAnsi="Times New Roman" w:cs="Times New Roman"/>
          <w:sz w:val="24"/>
          <w:szCs w:val="24"/>
        </w:rPr>
        <w:t xml:space="preserve">. </w:t>
      </w:r>
    </w:p>
    <w:sectPr w:rsidR="007C0B1F" w:rsidRPr="00B845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1F"/>
    <w:rsid w:val="0017348F"/>
    <w:rsid w:val="001A294E"/>
    <w:rsid w:val="007C0B1F"/>
    <w:rsid w:val="00A30DE9"/>
    <w:rsid w:val="00B845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1102</Words>
  <Characters>6274</Characters>
  <Application>Microsoft Office Word</Application>
  <DocSecurity>0</DocSecurity>
  <Lines>85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dcterms:created xsi:type="dcterms:W3CDTF">2020-03-07T11:28:00Z</dcterms:created>
  <dcterms:modified xsi:type="dcterms:W3CDTF">2020-03-07T11:28:00Z</dcterms:modified>
</cp:coreProperties>
</file>