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49" w:rsidRPr="00392D95" w:rsidRDefault="00392D95">
      <w:pPr>
        <w:rPr>
          <w:b/>
          <w:lang w:val="it-IT"/>
        </w:rPr>
      </w:pPr>
      <w:r w:rsidRPr="00392D95">
        <w:rPr>
          <w:b/>
          <w:lang w:val="it-IT"/>
        </w:rPr>
        <w:t xml:space="preserve">Autoverifica modulo contenuto d’acqua e </w:t>
      </w:r>
      <w:proofErr w:type="spellStart"/>
      <w:r w:rsidRPr="00392D95">
        <w:rPr>
          <w:b/>
          <w:lang w:val="it-IT"/>
        </w:rPr>
        <w:t>aw</w:t>
      </w:r>
      <w:proofErr w:type="spellEnd"/>
    </w:p>
    <w:p w:rsidR="00392D95" w:rsidRDefault="00392D95">
      <w:pPr>
        <w:rPr>
          <w:lang w:val="it-IT"/>
        </w:rPr>
      </w:pPr>
      <w:r>
        <w:rPr>
          <w:lang w:val="it-IT"/>
        </w:rPr>
        <w:t xml:space="preserve">Definire la differenza fra contenuto ed attività dell’acqua </w:t>
      </w:r>
    </w:p>
    <w:p w:rsidR="00392D95" w:rsidRDefault="00392D95">
      <w:pPr>
        <w:rPr>
          <w:lang w:val="it-IT"/>
        </w:rPr>
      </w:pPr>
      <w:r>
        <w:rPr>
          <w:lang w:val="it-IT"/>
        </w:rPr>
        <w:t>Descrivere i passaggi principali delle tecniche analitiche volte alla determinazione del contenuto d’acqua</w:t>
      </w:r>
    </w:p>
    <w:p w:rsidR="00392D95" w:rsidRDefault="00392D95">
      <w:pPr>
        <w:rPr>
          <w:lang w:val="it-IT"/>
        </w:rPr>
      </w:pPr>
      <w:r>
        <w:rPr>
          <w:lang w:val="it-IT"/>
        </w:rPr>
        <w:t>Descrivere le fonti di errore nella stima del contenuto d’acque</w:t>
      </w:r>
    </w:p>
    <w:p w:rsidR="00392D95" w:rsidRDefault="00392D95">
      <w:pPr>
        <w:rPr>
          <w:lang w:val="it-IT"/>
        </w:rPr>
      </w:pPr>
      <w:r>
        <w:rPr>
          <w:lang w:val="it-IT"/>
        </w:rPr>
        <w:t>Definire i criteri che guidano nella scelta delle diverse tecniche analitiche per la determinazione del contenuto d’acqua</w:t>
      </w:r>
    </w:p>
    <w:p w:rsidR="00392D95" w:rsidRDefault="00392D95">
      <w:pPr>
        <w:rPr>
          <w:lang w:val="it-IT"/>
        </w:rPr>
      </w:pPr>
      <w:r>
        <w:rPr>
          <w:lang w:val="it-IT"/>
        </w:rPr>
        <w:t xml:space="preserve">Definire </w:t>
      </w:r>
      <w:proofErr w:type="gramStart"/>
      <w:r>
        <w:rPr>
          <w:lang w:val="it-IT"/>
        </w:rPr>
        <w:t xml:space="preserve">l’ </w:t>
      </w:r>
      <w:proofErr w:type="spellStart"/>
      <w:r>
        <w:rPr>
          <w:lang w:val="it-IT"/>
        </w:rPr>
        <w:t>igroscopicita</w:t>
      </w:r>
      <w:proofErr w:type="spellEnd"/>
      <w:proofErr w:type="gramEnd"/>
      <w:r>
        <w:rPr>
          <w:lang w:val="it-IT"/>
        </w:rPr>
        <w:t xml:space="preserve"> di una matrice alimentare, le sue relazioni con il grado di disponibilità dell’acqua e con la stabilità del prodotto</w:t>
      </w:r>
    </w:p>
    <w:p w:rsidR="00392D95" w:rsidRDefault="00392D95">
      <w:pPr>
        <w:rPr>
          <w:lang w:val="it-IT"/>
        </w:rPr>
      </w:pPr>
      <w:r>
        <w:rPr>
          <w:lang w:val="it-IT"/>
        </w:rPr>
        <w:t xml:space="preserve">Definire l’attività dell’acqua in termini di rapporto di pressione vapore e indicare le </w:t>
      </w:r>
      <w:proofErr w:type="spellStart"/>
      <w:r>
        <w:rPr>
          <w:lang w:val="it-IT"/>
        </w:rPr>
        <w:t>unita</w:t>
      </w:r>
      <w:proofErr w:type="spellEnd"/>
      <w:r>
        <w:rPr>
          <w:lang w:val="it-IT"/>
        </w:rPr>
        <w:t xml:space="preserve"> di misura</w:t>
      </w:r>
    </w:p>
    <w:p w:rsidR="00392D95" w:rsidRDefault="00392D95">
      <w:pPr>
        <w:rPr>
          <w:lang w:val="it-IT"/>
        </w:rPr>
      </w:pPr>
      <w:r>
        <w:rPr>
          <w:lang w:val="it-IT"/>
        </w:rPr>
        <w:t xml:space="preserve">Descrivere un’isoterma di adsorbimento e definire le tre zone di riferimento per </w:t>
      </w:r>
      <w:proofErr w:type="spellStart"/>
      <w:r>
        <w:rPr>
          <w:lang w:val="it-IT"/>
        </w:rPr>
        <w:t>aw</w:t>
      </w:r>
      <w:proofErr w:type="spellEnd"/>
    </w:p>
    <w:p w:rsidR="008E2D5B" w:rsidRDefault="00392D95">
      <w:pPr>
        <w:rPr>
          <w:lang w:val="it-IT"/>
        </w:rPr>
      </w:pPr>
      <w:r>
        <w:rPr>
          <w:lang w:val="it-IT"/>
        </w:rPr>
        <w:t xml:space="preserve">Descrivere le relazioni fra </w:t>
      </w:r>
      <w:proofErr w:type="spellStart"/>
      <w:r>
        <w:rPr>
          <w:lang w:val="it-IT"/>
        </w:rPr>
        <w:t>aw</w:t>
      </w:r>
      <w:proofErr w:type="spellEnd"/>
      <w:r>
        <w:rPr>
          <w:lang w:val="it-IT"/>
        </w:rPr>
        <w:t xml:space="preserve"> e </w:t>
      </w:r>
      <w:r w:rsidR="008E2D5B">
        <w:rPr>
          <w:lang w:val="it-IT"/>
        </w:rPr>
        <w:t>velocita del</w:t>
      </w:r>
      <w:r>
        <w:rPr>
          <w:lang w:val="it-IT"/>
        </w:rPr>
        <w:t xml:space="preserve">la reazione di </w:t>
      </w:r>
      <w:proofErr w:type="spellStart"/>
      <w:r w:rsidR="008E2D5B">
        <w:rPr>
          <w:lang w:val="it-IT"/>
        </w:rPr>
        <w:t>Maillard</w:t>
      </w:r>
      <w:proofErr w:type="spellEnd"/>
      <w:r w:rsidR="008E2D5B" w:rsidRPr="008E2D5B">
        <w:rPr>
          <w:lang w:val="it-IT"/>
        </w:rPr>
        <w:t xml:space="preserve"> </w:t>
      </w:r>
    </w:p>
    <w:p w:rsidR="00392D95" w:rsidRDefault="008E2D5B">
      <w:pPr>
        <w:rPr>
          <w:lang w:val="it-IT"/>
        </w:rPr>
      </w:pPr>
      <w:r w:rsidRPr="008E2D5B">
        <w:rPr>
          <w:lang w:val="it-IT"/>
        </w:rPr>
        <w:t xml:space="preserve">Descrivere le relazioni fra </w:t>
      </w:r>
      <w:proofErr w:type="spellStart"/>
      <w:r w:rsidRPr="008E2D5B">
        <w:rPr>
          <w:lang w:val="it-IT"/>
        </w:rPr>
        <w:t>aw</w:t>
      </w:r>
      <w:proofErr w:type="spellEnd"/>
      <w:r w:rsidRPr="008E2D5B">
        <w:rPr>
          <w:lang w:val="it-IT"/>
        </w:rPr>
        <w:t xml:space="preserve"> e velocita della reazione di </w:t>
      </w:r>
      <w:r>
        <w:rPr>
          <w:lang w:val="it-IT"/>
        </w:rPr>
        <w:t>Irrancidimento ossidativo</w:t>
      </w:r>
    </w:p>
    <w:p w:rsidR="008E2D5B" w:rsidRDefault="008E2D5B">
      <w:pPr>
        <w:rPr>
          <w:lang w:val="it-IT"/>
        </w:rPr>
      </w:pPr>
      <w:r>
        <w:rPr>
          <w:lang w:val="it-IT"/>
        </w:rPr>
        <w:t>Definire l’effetto protettivo dell’acqua nei confronti dell’irrancidimento ossidativo</w:t>
      </w:r>
    </w:p>
    <w:p w:rsidR="008E2D5B" w:rsidRDefault="008E2D5B">
      <w:pPr>
        <w:rPr>
          <w:lang w:val="it-IT"/>
        </w:rPr>
      </w:pPr>
    </w:p>
    <w:p w:rsidR="008E2D5B" w:rsidRDefault="008E2D5B">
      <w:pPr>
        <w:rPr>
          <w:lang w:val="it-IT"/>
        </w:rPr>
      </w:pPr>
      <w:bookmarkStart w:id="0" w:name="_GoBack"/>
      <w:bookmarkEnd w:id="0"/>
    </w:p>
    <w:sectPr w:rsidR="008E2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95"/>
    <w:rsid w:val="00392D95"/>
    <w:rsid w:val="008E2D5B"/>
    <w:rsid w:val="00C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F4FC"/>
  <w15:chartTrackingRefBased/>
  <w15:docId w15:val="{373E3E4B-7FA8-440D-838A-2C12F2C5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dinnella</dc:creator>
  <cp:keywords/>
  <dc:description/>
  <cp:lastModifiedBy>caterina dinnella</cp:lastModifiedBy>
  <cp:revision>1</cp:revision>
  <dcterms:created xsi:type="dcterms:W3CDTF">2019-04-01T18:52:00Z</dcterms:created>
  <dcterms:modified xsi:type="dcterms:W3CDTF">2019-04-01T19:05:00Z</dcterms:modified>
</cp:coreProperties>
</file>