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25F2" w14:textId="371DFBC9" w:rsidR="00E22BFA" w:rsidRDefault="00E22BFA" w:rsidP="006C3B3A">
      <w:pPr>
        <w:jc w:val="center"/>
        <w:rPr>
          <w:rFonts w:ascii="Verdana" w:hAnsi="Verdana"/>
          <w:sz w:val="22"/>
          <w:szCs w:val="22"/>
        </w:rPr>
      </w:pPr>
      <w:r w:rsidRPr="00A15F7A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A15F7A" w:rsidRPr="00A15F7A">
        <w:rPr>
          <w:rFonts w:ascii="Verdana" w:hAnsi="Verdana"/>
          <w:sz w:val="22"/>
          <w:szCs w:val="22"/>
          <w:highlight w:val="yellow"/>
        </w:rPr>
        <w:t>– domande 01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0C602855" w14:textId="77777777" w:rsidR="006C3B3A" w:rsidRPr="00E22BFA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5FF7FDBF" w14:textId="77777777" w:rsidR="006C3B3A" w:rsidRPr="00074608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1. La svalutazione delle immobilizzazioni viene fatta quando è presente:</w:t>
      </w:r>
    </w:p>
    <w:p w14:paraId="47CE836B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 xml:space="preserve">una perdita durevole di valore </w:t>
      </w:r>
    </w:p>
    <w:p w14:paraId="58948373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una qualunque perdita di valore</w:t>
      </w:r>
    </w:p>
    <w:p w14:paraId="5483BBFA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una scarsa redditività aziendale</w:t>
      </w:r>
    </w:p>
    <w:p w14:paraId="5CCF408F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un incremento dei costi di manutenzione</w:t>
      </w:r>
    </w:p>
    <w:p w14:paraId="6DE728DF" w14:textId="77777777" w:rsidR="00C57F3C" w:rsidRPr="00074608" w:rsidRDefault="00C57F3C" w:rsidP="00E22BFA">
      <w:pPr>
        <w:spacing w:line="240" w:lineRule="exact"/>
        <w:rPr>
          <w:rFonts w:ascii="Verdana" w:hAnsi="Verdana"/>
          <w:bCs/>
          <w:sz w:val="22"/>
          <w:szCs w:val="22"/>
        </w:rPr>
      </w:pPr>
    </w:p>
    <w:p w14:paraId="6CB0DDEF" w14:textId="77777777" w:rsidR="006C3B3A" w:rsidRPr="00074608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2. Il costo di produzione non può mai includere:</w:t>
      </w:r>
    </w:p>
    <w:p w14:paraId="583F1023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pacing w:val="-2"/>
          <w:sz w:val="22"/>
          <w:szCs w:val="22"/>
        </w:rPr>
        <w:t>i costi direttamente imputabili al prodotto</w:t>
      </w:r>
    </w:p>
    <w:p w14:paraId="065AE15D" w14:textId="1303F7B2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pacing w:val="-2"/>
          <w:sz w:val="22"/>
          <w:szCs w:val="22"/>
        </w:rPr>
        <w:t>i costi indiretti ragionevolmente imput</w:t>
      </w:r>
      <w:r w:rsidR="00C40C29" w:rsidRPr="00074608">
        <w:rPr>
          <w:rFonts w:ascii="Verdana" w:hAnsi="Verdana" w:cs="Arial"/>
          <w:spacing w:val="-2"/>
          <w:sz w:val="22"/>
          <w:szCs w:val="22"/>
        </w:rPr>
        <w:t>abili al prodotto</w:t>
      </w:r>
    </w:p>
    <w:p w14:paraId="67846DAC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i/>
          <w:sz w:val="22"/>
          <w:szCs w:val="22"/>
        </w:rPr>
      </w:pPr>
      <w:r w:rsidRPr="00074608">
        <w:rPr>
          <w:rFonts w:ascii="Verdana" w:hAnsi="Verdana" w:cs="Arial"/>
          <w:spacing w:val="-2"/>
          <w:sz w:val="22"/>
          <w:szCs w:val="22"/>
        </w:rPr>
        <w:t>gli oneri finanziari</w:t>
      </w:r>
    </w:p>
    <w:p w14:paraId="5E7044DC" w14:textId="77777777" w:rsidR="006C3B3A" w:rsidRPr="00074608" w:rsidRDefault="006C3B3A" w:rsidP="00E22BFA">
      <w:pPr>
        <w:numPr>
          <w:ilvl w:val="0"/>
          <w:numId w:val="1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pacing w:val="-2"/>
          <w:sz w:val="22"/>
          <w:szCs w:val="22"/>
        </w:rPr>
        <w:t>gli oneri diversi di gestione</w:t>
      </w:r>
    </w:p>
    <w:p w14:paraId="083ED995" w14:textId="77777777" w:rsidR="00C57F3C" w:rsidRPr="00074608" w:rsidRDefault="00C57F3C" w:rsidP="00E22BFA">
      <w:pPr>
        <w:spacing w:line="240" w:lineRule="exact"/>
        <w:rPr>
          <w:rFonts w:ascii="Verdana" w:hAnsi="Verdana"/>
          <w:bCs/>
          <w:sz w:val="22"/>
          <w:szCs w:val="22"/>
        </w:rPr>
      </w:pPr>
    </w:p>
    <w:p w14:paraId="344A000B" w14:textId="57901BB7" w:rsidR="006C3B3A" w:rsidRPr="00074608" w:rsidRDefault="00FD34C5" w:rsidP="00A44C47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074608">
        <w:rPr>
          <w:rFonts w:ascii="Verdana" w:hAnsi="Verdana" w:cs="Arial"/>
          <w:sz w:val="22"/>
          <w:szCs w:val="22"/>
        </w:rPr>
        <w:t>3</w:t>
      </w:r>
      <w:r w:rsidR="006C3B3A" w:rsidRPr="00074608">
        <w:rPr>
          <w:rFonts w:ascii="Verdana" w:hAnsi="Verdana" w:cs="Arial"/>
          <w:sz w:val="22"/>
          <w:szCs w:val="22"/>
        </w:rPr>
        <w:t>. Secondo quale principio i beni in leasing finanziario dovrebbero essere iscritti tra le attività:</w:t>
      </w:r>
    </w:p>
    <w:p w14:paraId="15F06FA7" w14:textId="77777777" w:rsidR="006C3B3A" w:rsidRPr="00074608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</w:rPr>
      </w:pPr>
      <w:r w:rsidRPr="00074608">
        <w:rPr>
          <w:rFonts w:ascii="Verdana" w:hAnsi="Verdana" w:cs="Arial"/>
        </w:rPr>
        <w:t xml:space="preserve">Prudenza </w:t>
      </w:r>
    </w:p>
    <w:p w14:paraId="43F82259" w14:textId="77777777" w:rsidR="006C3B3A" w:rsidRPr="00074608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</w:rPr>
      </w:pPr>
      <w:r w:rsidRPr="00074608">
        <w:rPr>
          <w:rFonts w:ascii="Verdana" w:hAnsi="Verdana" w:cs="Arial"/>
        </w:rPr>
        <w:t xml:space="preserve">Competenza economica </w:t>
      </w:r>
    </w:p>
    <w:p w14:paraId="214A9184" w14:textId="77777777" w:rsidR="006C3B3A" w:rsidRPr="00074608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</w:rPr>
      </w:pPr>
      <w:r w:rsidRPr="00074608">
        <w:rPr>
          <w:rFonts w:ascii="Verdana" w:hAnsi="Verdana" w:cs="Arial"/>
        </w:rPr>
        <w:t>Prevalenza della sostanza sulla forma</w:t>
      </w:r>
    </w:p>
    <w:p w14:paraId="44BD3EFB" w14:textId="77777777" w:rsidR="006C3B3A" w:rsidRPr="00074608" w:rsidRDefault="006C3B3A" w:rsidP="00A44C47">
      <w:pPr>
        <w:pStyle w:val="Paragrafoelenco"/>
        <w:numPr>
          <w:ilvl w:val="0"/>
          <w:numId w:val="33"/>
        </w:numPr>
        <w:spacing w:after="0" w:line="240" w:lineRule="exact"/>
        <w:jc w:val="both"/>
        <w:rPr>
          <w:rFonts w:ascii="Verdana" w:hAnsi="Verdana" w:cs="Arial"/>
        </w:rPr>
      </w:pPr>
      <w:r w:rsidRPr="00074608">
        <w:rPr>
          <w:rFonts w:ascii="Verdana" w:hAnsi="Verdana" w:cs="Arial"/>
        </w:rPr>
        <w:t>Continuità della gestione</w:t>
      </w:r>
    </w:p>
    <w:p w14:paraId="6E0F0254" w14:textId="77777777" w:rsidR="006C3B3A" w:rsidRPr="00074608" w:rsidRDefault="006C3B3A"/>
    <w:p w14:paraId="0EE3FFDC" w14:textId="3F185B18" w:rsidR="006C3B3A" w:rsidRPr="00074608" w:rsidRDefault="00FD34C5" w:rsidP="006C3B3A">
      <w:pPr>
        <w:spacing w:line="240" w:lineRule="exact"/>
        <w:ind w:left="132" w:hanging="132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4</w:t>
      </w:r>
      <w:r w:rsidR="006C3B3A" w:rsidRPr="00074608">
        <w:rPr>
          <w:rFonts w:ascii="Verdana" w:hAnsi="Verdana" w:cs="Arial"/>
          <w:color w:val="000000" w:themeColor="text1"/>
          <w:sz w:val="22"/>
          <w:szCs w:val="22"/>
        </w:rPr>
        <w:t>. La nostra società effettua una permuta di un macchinario che cede (costo storico: 100.000 euro; ammortizzato al 50%) con un altro macchinario che acquisisce valutato 30.000 euro. Secondo la prassi contabile è necessario contabilizzare:</w:t>
      </w:r>
    </w:p>
    <w:p w14:paraId="5BDB4987" w14:textId="77777777" w:rsidR="006C3B3A" w:rsidRPr="00074608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una minusvalenza di euro 20.000</w:t>
      </w:r>
    </w:p>
    <w:p w14:paraId="06A09923" w14:textId="77777777" w:rsidR="006C3B3A" w:rsidRPr="00074608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una minusvalenza di euro 70.000</w:t>
      </w:r>
    </w:p>
    <w:p w14:paraId="5A1F8611" w14:textId="77777777" w:rsidR="006C3B3A" w:rsidRPr="00074608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una plusvalenza di euro 70.000</w:t>
      </w:r>
    </w:p>
    <w:p w14:paraId="0667166B" w14:textId="77777777" w:rsidR="006C3B3A" w:rsidRPr="00074608" w:rsidRDefault="006C3B3A" w:rsidP="006C3B3A">
      <w:pPr>
        <w:numPr>
          <w:ilvl w:val="0"/>
          <w:numId w:val="1"/>
        </w:numPr>
        <w:spacing w:line="240" w:lineRule="exact"/>
        <w:ind w:left="785" w:hanging="304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t>una plusvalenza di euro 80.000</w:t>
      </w:r>
    </w:p>
    <w:p w14:paraId="65EF9334" w14:textId="2EF6C636" w:rsidR="006C3B3A" w:rsidRPr="00074608" w:rsidRDefault="006C3B3A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263AF4D6" w14:textId="13D7C0A4" w:rsidR="00FD34C5" w:rsidRPr="00074608" w:rsidRDefault="00FD34C5" w:rsidP="00FD34C5">
      <w:pPr>
        <w:rPr>
          <w:rFonts w:ascii="Verdana" w:hAnsi="Verdana"/>
          <w:sz w:val="22"/>
          <w:szCs w:val="22"/>
        </w:rPr>
      </w:pPr>
      <w:r w:rsidRPr="00074608">
        <w:rPr>
          <w:rFonts w:ascii="Verdana" w:hAnsi="Verdana"/>
          <w:sz w:val="22"/>
          <w:szCs w:val="22"/>
        </w:rPr>
        <w:t>5. La redazione del bilancio secondo la forma prevista dagli articoli 2423 c.c. e ss. è obbligatoria per:</w:t>
      </w:r>
    </w:p>
    <w:p w14:paraId="3ECF8072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Società a Responsabilità Limitata</w:t>
      </w:r>
    </w:p>
    <w:p w14:paraId="397F72ED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Società in Nome Collettivo</w:t>
      </w:r>
    </w:p>
    <w:p w14:paraId="6968BBF2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Società in Accomandita Semplice</w:t>
      </w:r>
    </w:p>
    <w:p w14:paraId="71FF288C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Tutte le precedenti</w:t>
      </w:r>
    </w:p>
    <w:p w14:paraId="7E26814A" w14:textId="77777777" w:rsidR="00FD34C5" w:rsidRPr="00074608" w:rsidRDefault="00FD34C5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5A1067C4" w14:textId="1F9C7AFD" w:rsidR="00FD34C5" w:rsidRPr="00074608" w:rsidRDefault="00FD34C5" w:rsidP="00FD34C5">
      <w:pPr>
        <w:rPr>
          <w:rFonts w:ascii="Verdana" w:hAnsi="Verdana"/>
          <w:sz w:val="22"/>
          <w:szCs w:val="22"/>
        </w:rPr>
      </w:pPr>
      <w:r w:rsidRPr="00074608">
        <w:rPr>
          <w:rFonts w:ascii="Verdana" w:hAnsi="Verdana"/>
          <w:sz w:val="22"/>
          <w:szCs w:val="22"/>
        </w:rPr>
        <w:t>6. La dimensione societaria ai fini dell’adozione del bilancio in forma abbreviata è rapportata a:</w:t>
      </w:r>
    </w:p>
    <w:p w14:paraId="4269A59E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capitale sociale, dipendenti e fatturato</w:t>
      </w:r>
    </w:p>
    <w:p w14:paraId="6A0368F3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fatturato, utili e indebitamento</w:t>
      </w:r>
    </w:p>
    <w:p w14:paraId="1FDE2837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utili, indebitamento e dipendenti</w:t>
      </w:r>
    </w:p>
    <w:p w14:paraId="28B99C13" w14:textId="77777777" w:rsidR="00FD34C5" w:rsidRPr="00074608" w:rsidRDefault="00FD34C5" w:rsidP="00FD34C5">
      <w:pPr>
        <w:pStyle w:val="Paragrafoelenco"/>
        <w:widowControl w:val="0"/>
        <w:numPr>
          <w:ilvl w:val="0"/>
          <w:numId w:val="50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074608">
        <w:rPr>
          <w:rFonts w:ascii="Verdana" w:hAnsi="Verdana" w:cs="Arial"/>
          <w:spacing w:val="-2"/>
        </w:rPr>
        <w:t>totale attività, dipendenti e fatturato</w:t>
      </w:r>
    </w:p>
    <w:p w14:paraId="4C1EE167" w14:textId="77777777" w:rsidR="006C3B3A" w:rsidRPr="00074608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074608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4C3F818E" w:rsidR="007206A4" w:rsidRDefault="00C72031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  <w:bookmarkStart w:id="0" w:name="_GoBack"/>
      <w:bookmarkEnd w:id="0"/>
    </w:p>
    <w:p w14:paraId="230EDA9E" w14:textId="77777777" w:rsidR="003113E6" w:rsidRDefault="003113E6" w:rsidP="003113E6">
      <w:pPr>
        <w:spacing w:line="360" w:lineRule="auto"/>
        <w:jc w:val="both"/>
        <w:rPr>
          <w:rFonts w:ascii="Verdana" w:hAnsi="Verdana"/>
          <w:sz w:val="22"/>
        </w:rPr>
      </w:pPr>
      <w:r w:rsidRPr="006316B2">
        <w:rPr>
          <w:rFonts w:ascii="Verdana" w:hAnsi="Verdana"/>
          <w:sz w:val="22"/>
        </w:rPr>
        <w:t>Si richiede di rappresentare gli effetti delle seguenti oper</w:t>
      </w:r>
      <w:r>
        <w:rPr>
          <w:rFonts w:ascii="Verdana" w:hAnsi="Verdana"/>
          <w:sz w:val="22"/>
        </w:rPr>
        <w:t>azioni nei bilanci interessati:</w:t>
      </w:r>
    </w:p>
    <w:p w14:paraId="2F9C06C1" w14:textId="1BA6443D" w:rsidR="00A33853" w:rsidRPr="003604B3" w:rsidRDefault="00A33853" w:rsidP="00A33853">
      <w:pPr>
        <w:spacing w:before="120" w:after="1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Pr="003604B3">
        <w:rPr>
          <w:rFonts w:ascii="Verdana" w:hAnsi="Verdana"/>
          <w:sz w:val="24"/>
          <w:szCs w:val="24"/>
        </w:rPr>
        <w:t>La Beta S.p.A., a fronte dell’acquisto di un impianto del costo storico di €. 100.000, riceve dalla Regione un contributo in conto impianti pari al 40% del valore dell’investimento con i vincoli e alle condizioni previste dal bando. Il piano di ammortamento si svolge per la durata di quattro anni, a quote costanti. Si proceda, dando distinta evidenza all’ammortamento e al contributo, a calcolare le grandezze di bilancio ed evidenziare i riflessi sui bilanci dei quattro esercizi interessati.</w:t>
      </w:r>
    </w:p>
    <w:sectPr w:rsidR="00A33853" w:rsidRPr="003604B3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77698" w14:textId="77777777" w:rsidR="008E1725" w:rsidRDefault="008E1725">
      <w:r>
        <w:separator/>
      </w:r>
    </w:p>
  </w:endnote>
  <w:endnote w:type="continuationSeparator" w:id="0">
    <w:p w14:paraId="3FE4852D" w14:textId="77777777" w:rsidR="008E1725" w:rsidRDefault="008E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E0E9" w14:textId="77777777" w:rsidR="00CB39D4" w:rsidRDefault="00CB39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5570487B" w:rsidR="00133666" w:rsidRDefault="00E36F73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 w:rsidR="00133666"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C72031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133666" w:rsidRDefault="00133666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0BAA" w14:textId="77777777" w:rsidR="00CB39D4" w:rsidRDefault="00CB39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16F7" w14:textId="77777777" w:rsidR="008E1725" w:rsidRDefault="008E1725">
      <w:r>
        <w:separator/>
      </w:r>
    </w:p>
  </w:footnote>
  <w:footnote w:type="continuationSeparator" w:id="0">
    <w:p w14:paraId="10E029CE" w14:textId="77777777" w:rsidR="008E1725" w:rsidRDefault="008E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B04CF" w14:textId="77777777" w:rsidR="00CB39D4" w:rsidRDefault="00CB39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7A3992C2" w:rsidR="007206A4" w:rsidRPr="00CB39D4" w:rsidRDefault="007206A4" w:rsidP="00CB39D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E1758" w14:textId="77777777" w:rsidR="00CB39D4" w:rsidRDefault="00CB39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156"/>
    <w:multiLevelType w:val="hybridMultilevel"/>
    <w:tmpl w:val="E5AC9936"/>
    <w:lvl w:ilvl="0" w:tplc="83CEE4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4B78"/>
    <w:multiLevelType w:val="hybridMultilevel"/>
    <w:tmpl w:val="1E68D13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152CB6"/>
    <w:multiLevelType w:val="hybridMultilevel"/>
    <w:tmpl w:val="134EE0B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959"/>
    <w:multiLevelType w:val="hybridMultilevel"/>
    <w:tmpl w:val="D67AB618"/>
    <w:lvl w:ilvl="0" w:tplc="981CD02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2EAD"/>
    <w:multiLevelType w:val="hybridMultilevel"/>
    <w:tmpl w:val="A6EAE946"/>
    <w:lvl w:ilvl="0" w:tplc="BC1C21A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C725D"/>
    <w:multiLevelType w:val="hybridMultilevel"/>
    <w:tmpl w:val="6714E5F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2C5D"/>
    <w:multiLevelType w:val="hybridMultilevel"/>
    <w:tmpl w:val="421A70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E51CE"/>
    <w:multiLevelType w:val="hybridMultilevel"/>
    <w:tmpl w:val="23AC01D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035E0"/>
    <w:multiLevelType w:val="hybridMultilevel"/>
    <w:tmpl w:val="1EBEA85A"/>
    <w:lvl w:ilvl="0" w:tplc="BC1C21A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F70F6"/>
    <w:multiLevelType w:val="hybridMultilevel"/>
    <w:tmpl w:val="C6D0A47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30706"/>
    <w:multiLevelType w:val="hybridMultilevel"/>
    <w:tmpl w:val="82F80B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A14BE"/>
    <w:multiLevelType w:val="hybridMultilevel"/>
    <w:tmpl w:val="0398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30989"/>
    <w:multiLevelType w:val="hybridMultilevel"/>
    <w:tmpl w:val="F12E200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A2577"/>
    <w:multiLevelType w:val="hybridMultilevel"/>
    <w:tmpl w:val="0486E89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D37EB"/>
    <w:multiLevelType w:val="hybridMultilevel"/>
    <w:tmpl w:val="C3F66C9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41D55"/>
    <w:multiLevelType w:val="hybridMultilevel"/>
    <w:tmpl w:val="FE9C2F9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565"/>
    <w:multiLevelType w:val="hybridMultilevel"/>
    <w:tmpl w:val="42447514"/>
    <w:lvl w:ilvl="0" w:tplc="BC1C21A0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FE73F0"/>
    <w:multiLevelType w:val="hybridMultilevel"/>
    <w:tmpl w:val="3902519E"/>
    <w:lvl w:ilvl="0" w:tplc="4C3E64E6">
      <w:start w:val="2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B5EC9"/>
    <w:multiLevelType w:val="hybridMultilevel"/>
    <w:tmpl w:val="371A2EB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E5A6F"/>
    <w:multiLevelType w:val="hybridMultilevel"/>
    <w:tmpl w:val="A60488E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61EF6"/>
    <w:multiLevelType w:val="hybridMultilevel"/>
    <w:tmpl w:val="F8CE9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21A1C"/>
    <w:multiLevelType w:val="hybridMultilevel"/>
    <w:tmpl w:val="BDD4EC1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94401"/>
    <w:multiLevelType w:val="hybridMultilevel"/>
    <w:tmpl w:val="4F6441D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26F1C"/>
    <w:multiLevelType w:val="hybridMultilevel"/>
    <w:tmpl w:val="995E34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2D93"/>
    <w:multiLevelType w:val="hybridMultilevel"/>
    <w:tmpl w:val="218A2518"/>
    <w:lvl w:ilvl="0" w:tplc="8954D45A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3" w15:restartNumberingAfterBreak="0">
    <w:nsid w:val="5C5A389D"/>
    <w:multiLevelType w:val="hybridMultilevel"/>
    <w:tmpl w:val="3A6EDE3E"/>
    <w:lvl w:ilvl="0" w:tplc="C48EFF64">
      <w:start w:val="1"/>
      <w:numFmt w:val="decimal"/>
      <w:lvlText w:val="%1."/>
      <w:lvlJc w:val="left"/>
      <w:pPr>
        <w:ind w:left="768" w:hanging="408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7BD2"/>
    <w:multiLevelType w:val="hybridMultilevel"/>
    <w:tmpl w:val="D7E60F9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E1365"/>
    <w:multiLevelType w:val="hybridMultilevel"/>
    <w:tmpl w:val="8A3A5A7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56C3B"/>
    <w:multiLevelType w:val="hybridMultilevel"/>
    <w:tmpl w:val="DE528AAA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C41E6"/>
    <w:multiLevelType w:val="hybridMultilevel"/>
    <w:tmpl w:val="B8263B54"/>
    <w:lvl w:ilvl="0" w:tplc="984E82E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35D33"/>
    <w:multiLevelType w:val="hybridMultilevel"/>
    <w:tmpl w:val="4E48B4D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73A86"/>
    <w:multiLevelType w:val="hybridMultilevel"/>
    <w:tmpl w:val="ED4042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8601E"/>
    <w:multiLevelType w:val="hybridMultilevel"/>
    <w:tmpl w:val="45CE7544"/>
    <w:lvl w:ilvl="0" w:tplc="0410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2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74BB0554"/>
    <w:multiLevelType w:val="hybridMultilevel"/>
    <w:tmpl w:val="4780916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DCA7085"/>
    <w:multiLevelType w:val="hybridMultilevel"/>
    <w:tmpl w:val="950C9B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41"/>
  </w:num>
  <w:num w:numId="8">
    <w:abstractNumId w:val="15"/>
  </w:num>
  <w:num w:numId="9">
    <w:abstractNumId w:val="13"/>
  </w:num>
  <w:num w:numId="10">
    <w:abstractNumId w:val="45"/>
  </w:num>
  <w:num w:numId="11">
    <w:abstractNumId w:val="22"/>
  </w:num>
  <w:num w:numId="12">
    <w:abstractNumId w:val="37"/>
  </w:num>
  <w:num w:numId="13">
    <w:abstractNumId w:val="1"/>
  </w:num>
  <w:num w:numId="14">
    <w:abstractNumId w:val="38"/>
  </w:num>
  <w:num w:numId="15">
    <w:abstractNumId w:val="31"/>
  </w:num>
  <w:num w:numId="16">
    <w:abstractNumId w:val="17"/>
  </w:num>
  <w:num w:numId="17">
    <w:abstractNumId w:val="24"/>
  </w:num>
  <w:num w:numId="18">
    <w:abstractNumId w:val="19"/>
  </w:num>
  <w:num w:numId="19">
    <w:abstractNumId w:val="12"/>
  </w:num>
  <w:num w:numId="20">
    <w:abstractNumId w:val="7"/>
  </w:num>
  <w:num w:numId="21">
    <w:abstractNumId w:val="14"/>
  </w:num>
  <w:num w:numId="22">
    <w:abstractNumId w:val="36"/>
  </w:num>
  <w:num w:numId="23">
    <w:abstractNumId w:val="3"/>
  </w:num>
  <w:num w:numId="24">
    <w:abstractNumId w:val="16"/>
  </w:num>
  <w:num w:numId="25">
    <w:abstractNumId w:val="10"/>
  </w:num>
  <w:num w:numId="26">
    <w:abstractNumId w:val="40"/>
  </w:num>
  <w:num w:numId="27">
    <w:abstractNumId w:val="34"/>
  </w:num>
  <w:num w:numId="28">
    <w:abstractNumId w:val="28"/>
  </w:num>
  <w:num w:numId="29">
    <w:abstractNumId w:val="30"/>
  </w:num>
  <w:num w:numId="30">
    <w:abstractNumId w:val="43"/>
  </w:num>
  <w:num w:numId="31">
    <w:abstractNumId w:val="35"/>
  </w:num>
  <w:num w:numId="32">
    <w:abstractNumId w:val="6"/>
  </w:num>
  <w:num w:numId="33">
    <w:abstractNumId w:val="8"/>
  </w:num>
  <w:num w:numId="34">
    <w:abstractNumId w:val="27"/>
  </w:num>
  <w:num w:numId="35">
    <w:abstractNumId w:val="32"/>
  </w:num>
  <w:num w:numId="36">
    <w:abstractNumId w:val="21"/>
  </w:num>
  <w:num w:numId="37">
    <w:abstractNumId w:val="2"/>
  </w:num>
  <w:num w:numId="38">
    <w:abstractNumId w:val="44"/>
  </w:num>
  <w:num w:numId="39">
    <w:abstractNumId w:val="42"/>
  </w:num>
  <w:num w:numId="40">
    <w:abstractNumId w:val="23"/>
  </w:num>
  <w:num w:numId="41">
    <w:abstractNumId w:val="25"/>
  </w:num>
  <w:num w:numId="42">
    <w:abstractNumId w:val="26"/>
  </w:num>
  <w:num w:numId="43">
    <w:abstractNumId w:val="29"/>
  </w:num>
  <w:num w:numId="44">
    <w:abstractNumId w:val="33"/>
  </w:num>
  <w:num w:numId="45">
    <w:abstractNumId w:val="4"/>
  </w:num>
  <w:num w:numId="46">
    <w:abstractNumId w:val="42"/>
  </w:num>
  <w:num w:numId="47">
    <w:abstractNumId w:val="11"/>
  </w:num>
  <w:num w:numId="48">
    <w:abstractNumId w:val="0"/>
  </w:num>
  <w:num w:numId="49">
    <w:abstractNumId w:val="18"/>
  </w:num>
  <w:num w:numId="5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138E8"/>
    <w:rsid w:val="00074608"/>
    <w:rsid w:val="00081A46"/>
    <w:rsid w:val="00087DA3"/>
    <w:rsid w:val="000D1B75"/>
    <w:rsid w:val="00133666"/>
    <w:rsid w:val="00157424"/>
    <w:rsid w:val="001830BA"/>
    <w:rsid w:val="002145AA"/>
    <w:rsid w:val="002416FB"/>
    <w:rsid w:val="0028266E"/>
    <w:rsid w:val="00297C9B"/>
    <w:rsid w:val="003113E6"/>
    <w:rsid w:val="003149CC"/>
    <w:rsid w:val="0035063A"/>
    <w:rsid w:val="00354C2F"/>
    <w:rsid w:val="00397C5C"/>
    <w:rsid w:val="003E5D9C"/>
    <w:rsid w:val="003E5EE7"/>
    <w:rsid w:val="00487662"/>
    <w:rsid w:val="00495736"/>
    <w:rsid w:val="00497E91"/>
    <w:rsid w:val="004B238D"/>
    <w:rsid w:val="00515070"/>
    <w:rsid w:val="00530CBC"/>
    <w:rsid w:val="005622F2"/>
    <w:rsid w:val="00595DC1"/>
    <w:rsid w:val="005C06E5"/>
    <w:rsid w:val="005E2355"/>
    <w:rsid w:val="005E50A4"/>
    <w:rsid w:val="006244AC"/>
    <w:rsid w:val="006465F8"/>
    <w:rsid w:val="00686C1B"/>
    <w:rsid w:val="006C3B3A"/>
    <w:rsid w:val="006D5AE4"/>
    <w:rsid w:val="007206A4"/>
    <w:rsid w:val="00724FAB"/>
    <w:rsid w:val="0073048B"/>
    <w:rsid w:val="00737316"/>
    <w:rsid w:val="0079109A"/>
    <w:rsid w:val="007A111B"/>
    <w:rsid w:val="007D062C"/>
    <w:rsid w:val="007D3CA1"/>
    <w:rsid w:val="007E2C10"/>
    <w:rsid w:val="0080678B"/>
    <w:rsid w:val="008703BE"/>
    <w:rsid w:val="0088233B"/>
    <w:rsid w:val="008E1725"/>
    <w:rsid w:val="008F1750"/>
    <w:rsid w:val="00922A4D"/>
    <w:rsid w:val="009377FA"/>
    <w:rsid w:val="00937BA4"/>
    <w:rsid w:val="00983C9C"/>
    <w:rsid w:val="009D52AE"/>
    <w:rsid w:val="00A15F7A"/>
    <w:rsid w:val="00A33853"/>
    <w:rsid w:val="00A54099"/>
    <w:rsid w:val="00AC1E86"/>
    <w:rsid w:val="00AF645D"/>
    <w:rsid w:val="00B11168"/>
    <w:rsid w:val="00B475FD"/>
    <w:rsid w:val="00B62755"/>
    <w:rsid w:val="00B762B4"/>
    <w:rsid w:val="00B9540F"/>
    <w:rsid w:val="00B96810"/>
    <w:rsid w:val="00C40C29"/>
    <w:rsid w:val="00C57F3C"/>
    <w:rsid w:val="00C72031"/>
    <w:rsid w:val="00C8339B"/>
    <w:rsid w:val="00CB39D4"/>
    <w:rsid w:val="00CB3C23"/>
    <w:rsid w:val="00D26792"/>
    <w:rsid w:val="00DA1FD8"/>
    <w:rsid w:val="00DD14A4"/>
    <w:rsid w:val="00E22BFA"/>
    <w:rsid w:val="00E27E16"/>
    <w:rsid w:val="00E36F73"/>
    <w:rsid w:val="00E9096D"/>
    <w:rsid w:val="00EB7244"/>
    <w:rsid w:val="00F07A46"/>
    <w:rsid w:val="00F2722C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E74A6506-D1DE-4A7D-ABB0-9D97C704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37"/>
      </w:numPr>
    </w:pPr>
  </w:style>
  <w:style w:type="numbering" w:customStyle="1" w:styleId="WWNum2">
    <w:name w:val="WWNum2"/>
    <w:basedOn w:val="Nessunelenco"/>
    <w:rsid w:val="00B762B4"/>
    <w:pPr>
      <w:numPr>
        <w:numId w:val="38"/>
      </w:numPr>
    </w:pPr>
  </w:style>
  <w:style w:type="numbering" w:customStyle="1" w:styleId="WWNum3">
    <w:name w:val="WWNum3"/>
    <w:basedOn w:val="Nessunelenco"/>
    <w:rsid w:val="00B762B4"/>
    <w:pPr>
      <w:numPr>
        <w:numId w:val="39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55A7-5758-485D-9FDB-35C2C32B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7</cp:revision>
  <cp:lastPrinted>2016-09-09T09:12:00Z</cp:lastPrinted>
  <dcterms:created xsi:type="dcterms:W3CDTF">2016-11-20T19:42:00Z</dcterms:created>
  <dcterms:modified xsi:type="dcterms:W3CDTF">2020-09-28T05:15:00Z</dcterms:modified>
</cp:coreProperties>
</file>