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7CD67FE0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F4565F">
        <w:rPr>
          <w:rFonts w:ascii="Verdana" w:hAnsi="Verdana"/>
          <w:sz w:val="22"/>
          <w:szCs w:val="22"/>
          <w:highlight w:val="yellow"/>
        </w:rPr>
        <w:t>Corso</w:t>
      </w:r>
      <w:r w:rsidR="00F4565F" w:rsidRPr="00F4565F">
        <w:rPr>
          <w:rFonts w:ascii="Verdana" w:hAnsi="Verdana"/>
          <w:sz w:val="22"/>
          <w:szCs w:val="22"/>
          <w:highlight w:val="yellow"/>
        </w:rPr>
        <w:t xml:space="preserve"> di </w:t>
      </w:r>
      <w:bookmarkStart w:id="0" w:name="_GoBack"/>
      <w:bookmarkEnd w:id="0"/>
      <w:r w:rsidR="00F4565F" w:rsidRPr="00F4565F">
        <w:rPr>
          <w:rFonts w:ascii="Verdana" w:hAnsi="Verdana"/>
          <w:sz w:val="22"/>
          <w:szCs w:val="22"/>
          <w:highlight w:val="yellow"/>
        </w:rPr>
        <w:t>Bilancio</w:t>
      </w:r>
      <w:r w:rsidR="00D01741">
        <w:rPr>
          <w:rFonts w:ascii="Verdana" w:hAnsi="Verdana"/>
          <w:sz w:val="22"/>
          <w:szCs w:val="22"/>
          <w:highlight w:val="yellow"/>
        </w:rPr>
        <w:t xml:space="preserve"> </w:t>
      </w:r>
      <w:r w:rsidR="00F4565F" w:rsidRPr="00F4565F">
        <w:rPr>
          <w:rFonts w:ascii="Verdana" w:hAnsi="Verdana"/>
          <w:sz w:val="22"/>
          <w:szCs w:val="22"/>
          <w:highlight w:val="yellow"/>
        </w:rPr>
        <w:t>– domande 04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0C602855" w14:textId="77777777" w:rsidR="006C3B3A" w:rsidRPr="00E22BFA" w:rsidRDefault="006C3B3A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5AA04720" w14:textId="6FDF5819" w:rsidR="00F428DB" w:rsidRPr="00BC1108" w:rsidRDefault="00433CFC" w:rsidP="00A56FF5">
      <w:pPr>
        <w:spacing w:line="240" w:lineRule="exact"/>
        <w:jc w:val="both"/>
        <w:rPr>
          <w:rFonts w:eastAsiaTheme="minorHAnsi"/>
          <w:sz w:val="24"/>
          <w:szCs w:val="24"/>
        </w:rPr>
      </w:pPr>
      <w:r w:rsidRPr="00BC1108">
        <w:rPr>
          <w:rFonts w:ascii="Verdana" w:hAnsi="Verdana"/>
          <w:bCs/>
          <w:sz w:val="22"/>
          <w:szCs w:val="22"/>
        </w:rPr>
        <w:t>1</w:t>
      </w:r>
      <w:r w:rsidR="00F428DB" w:rsidRPr="00BC1108">
        <w:rPr>
          <w:rFonts w:ascii="Verdana" w:hAnsi="Verdana" w:cs="Arial"/>
          <w:sz w:val="22"/>
          <w:szCs w:val="22"/>
        </w:rPr>
        <w:t>. L’art. 2423 fissa quale clausola generale del bilancio civilistico?</w:t>
      </w:r>
    </w:p>
    <w:p w14:paraId="51D57CAD" w14:textId="77777777" w:rsidR="00F428DB" w:rsidRPr="00BC1108" w:rsidRDefault="00F428DB" w:rsidP="00A56FF5">
      <w:pPr>
        <w:spacing w:line="240" w:lineRule="exact"/>
        <w:ind w:left="720" w:hanging="360"/>
        <w:jc w:val="both"/>
        <w:rPr>
          <w:rFonts w:eastAsiaTheme="minorHAnsi"/>
          <w:sz w:val="24"/>
          <w:szCs w:val="24"/>
        </w:rPr>
      </w:pPr>
      <w:proofErr w:type="gramStart"/>
      <w:r w:rsidRPr="00BC1108">
        <w:rPr>
          <w:rFonts w:ascii="Wingdings" w:eastAsia="Wingdings" w:hAnsi="Wingdings" w:cs="Wingdings"/>
          <w:sz w:val="22"/>
          <w:szCs w:val="22"/>
        </w:rPr>
        <w:t></w:t>
      </w:r>
      <w:r w:rsidRPr="00BC1108">
        <w:rPr>
          <w:rFonts w:eastAsia="Wingdings"/>
          <w:sz w:val="14"/>
          <w:szCs w:val="14"/>
        </w:rPr>
        <w:t xml:space="preserve">  </w:t>
      </w:r>
      <w:r w:rsidRPr="00BC1108">
        <w:rPr>
          <w:rFonts w:ascii="Verdana" w:hAnsi="Verdana" w:cs="Arial"/>
          <w:spacing w:val="-2"/>
          <w:sz w:val="22"/>
          <w:szCs w:val="22"/>
        </w:rPr>
        <w:t>competenza</w:t>
      </w:r>
      <w:proofErr w:type="gramEnd"/>
      <w:r w:rsidRPr="00BC1108">
        <w:rPr>
          <w:rFonts w:ascii="Verdana" w:hAnsi="Verdana" w:cs="Arial"/>
          <w:spacing w:val="-2"/>
          <w:sz w:val="22"/>
          <w:szCs w:val="22"/>
        </w:rPr>
        <w:t xml:space="preserve">, prudenza e correttezza </w:t>
      </w:r>
    </w:p>
    <w:p w14:paraId="061CE1D3" w14:textId="77777777" w:rsidR="00F428DB" w:rsidRPr="00BC1108" w:rsidRDefault="00F428DB" w:rsidP="00A56FF5">
      <w:pPr>
        <w:spacing w:line="240" w:lineRule="exact"/>
        <w:ind w:left="720" w:hanging="360"/>
        <w:jc w:val="both"/>
        <w:rPr>
          <w:rFonts w:eastAsiaTheme="minorHAnsi"/>
          <w:sz w:val="24"/>
          <w:szCs w:val="24"/>
        </w:rPr>
      </w:pPr>
      <w:proofErr w:type="gramStart"/>
      <w:r w:rsidRPr="00BC1108">
        <w:rPr>
          <w:rFonts w:ascii="Wingdings" w:eastAsia="Wingdings" w:hAnsi="Wingdings" w:cs="Wingdings"/>
          <w:sz w:val="22"/>
          <w:szCs w:val="22"/>
        </w:rPr>
        <w:t></w:t>
      </w:r>
      <w:r w:rsidRPr="00BC1108">
        <w:rPr>
          <w:rFonts w:eastAsia="Wingdings"/>
          <w:sz w:val="14"/>
          <w:szCs w:val="14"/>
        </w:rPr>
        <w:t xml:space="preserve">  </w:t>
      </w:r>
      <w:r w:rsidRPr="00BC1108">
        <w:rPr>
          <w:rFonts w:ascii="Verdana" w:hAnsi="Verdana" w:cs="Arial"/>
          <w:spacing w:val="-2"/>
          <w:sz w:val="22"/>
          <w:szCs w:val="22"/>
        </w:rPr>
        <w:t>neutralità</w:t>
      </w:r>
      <w:proofErr w:type="gramEnd"/>
      <w:r w:rsidRPr="00BC1108">
        <w:rPr>
          <w:rFonts w:ascii="Verdana" w:hAnsi="Verdana" w:cs="Arial"/>
          <w:spacing w:val="-2"/>
          <w:sz w:val="22"/>
          <w:szCs w:val="22"/>
        </w:rPr>
        <w:t>, prudenza e chiarezza</w:t>
      </w:r>
    </w:p>
    <w:p w14:paraId="1D10217D" w14:textId="77777777" w:rsidR="00F428DB" w:rsidRPr="00BC1108" w:rsidRDefault="00F428DB" w:rsidP="00A56FF5">
      <w:pPr>
        <w:spacing w:line="240" w:lineRule="exact"/>
        <w:ind w:left="720" w:hanging="360"/>
        <w:jc w:val="both"/>
        <w:rPr>
          <w:rFonts w:eastAsiaTheme="minorHAnsi"/>
          <w:sz w:val="24"/>
          <w:szCs w:val="24"/>
        </w:rPr>
      </w:pPr>
      <w:proofErr w:type="gramStart"/>
      <w:r w:rsidRPr="00BC1108">
        <w:rPr>
          <w:rFonts w:ascii="Wingdings" w:eastAsia="Wingdings" w:hAnsi="Wingdings" w:cs="Wingdings"/>
          <w:sz w:val="22"/>
          <w:szCs w:val="22"/>
        </w:rPr>
        <w:t></w:t>
      </w:r>
      <w:r w:rsidRPr="00BC1108">
        <w:rPr>
          <w:rFonts w:eastAsia="Wingdings"/>
          <w:sz w:val="14"/>
          <w:szCs w:val="14"/>
        </w:rPr>
        <w:t xml:space="preserve">  </w:t>
      </w:r>
      <w:r w:rsidRPr="00BC1108">
        <w:rPr>
          <w:rFonts w:ascii="Verdana" w:hAnsi="Verdana" w:cs="Arial"/>
          <w:iCs/>
          <w:spacing w:val="-2"/>
          <w:sz w:val="22"/>
          <w:szCs w:val="22"/>
        </w:rPr>
        <w:t>chiarezza</w:t>
      </w:r>
      <w:proofErr w:type="gramEnd"/>
      <w:r w:rsidRPr="00BC1108">
        <w:rPr>
          <w:rFonts w:ascii="Verdana" w:hAnsi="Verdana" w:cs="Arial"/>
          <w:iCs/>
          <w:spacing w:val="-2"/>
          <w:sz w:val="22"/>
          <w:szCs w:val="22"/>
        </w:rPr>
        <w:t>, verità e correttezza</w:t>
      </w:r>
      <w:r w:rsidRPr="00BC1108">
        <w:rPr>
          <w:rFonts w:ascii="Verdana" w:hAnsi="Verdana" w:cs="Arial"/>
          <w:i/>
          <w:iCs/>
          <w:spacing w:val="-2"/>
          <w:sz w:val="22"/>
          <w:szCs w:val="22"/>
        </w:rPr>
        <w:t xml:space="preserve"> </w:t>
      </w:r>
    </w:p>
    <w:p w14:paraId="0EE176FB" w14:textId="77777777" w:rsidR="00F428DB" w:rsidRPr="00BC1108" w:rsidRDefault="00F428DB" w:rsidP="00A56FF5">
      <w:pPr>
        <w:spacing w:line="240" w:lineRule="exact"/>
        <w:ind w:left="720" w:hanging="360"/>
        <w:jc w:val="both"/>
        <w:rPr>
          <w:sz w:val="22"/>
          <w:szCs w:val="22"/>
        </w:rPr>
      </w:pPr>
      <w:proofErr w:type="gramStart"/>
      <w:r w:rsidRPr="00BC1108">
        <w:rPr>
          <w:rFonts w:ascii="Wingdings" w:eastAsia="Wingdings" w:hAnsi="Wingdings" w:cs="Wingdings"/>
          <w:sz w:val="22"/>
          <w:szCs w:val="22"/>
        </w:rPr>
        <w:t></w:t>
      </w:r>
      <w:r w:rsidRPr="00BC1108">
        <w:rPr>
          <w:rFonts w:eastAsia="Wingdings"/>
          <w:sz w:val="14"/>
          <w:szCs w:val="14"/>
        </w:rPr>
        <w:t xml:space="preserve">  </w:t>
      </w:r>
      <w:r w:rsidRPr="00BC1108">
        <w:rPr>
          <w:rFonts w:ascii="Verdana" w:hAnsi="Verdana" w:cs="Arial"/>
          <w:spacing w:val="-2"/>
          <w:sz w:val="22"/>
          <w:szCs w:val="22"/>
        </w:rPr>
        <w:t>nessuna</w:t>
      </w:r>
      <w:proofErr w:type="gramEnd"/>
      <w:r w:rsidRPr="00BC1108">
        <w:rPr>
          <w:rFonts w:ascii="Verdana" w:hAnsi="Verdana" w:cs="Arial"/>
          <w:spacing w:val="-2"/>
          <w:sz w:val="22"/>
          <w:szCs w:val="22"/>
        </w:rPr>
        <w:t xml:space="preserve"> delle precedenti risposte è corretta</w:t>
      </w:r>
      <w:r w:rsidRPr="00BC1108">
        <w:rPr>
          <w:sz w:val="22"/>
          <w:szCs w:val="22"/>
        </w:rPr>
        <w:t> </w:t>
      </w:r>
    </w:p>
    <w:p w14:paraId="4AA502C6" w14:textId="77777777" w:rsidR="00BC56BC" w:rsidRPr="00BC1108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08302D2" w14:textId="4952A11C" w:rsidR="00A56FF5" w:rsidRPr="00BC1108" w:rsidRDefault="00433CFC" w:rsidP="009F2DA3">
      <w:pPr>
        <w:jc w:val="both"/>
        <w:rPr>
          <w:rFonts w:ascii="Verdana" w:hAnsi="Verdana"/>
          <w:bCs/>
          <w:sz w:val="22"/>
          <w:szCs w:val="22"/>
        </w:rPr>
      </w:pPr>
      <w:r w:rsidRPr="00BC1108">
        <w:rPr>
          <w:rFonts w:ascii="Verdana" w:hAnsi="Verdana"/>
          <w:bCs/>
          <w:sz w:val="22"/>
          <w:szCs w:val="22"/>
        </w:rPr>
        <w:t>2</w:t>
      </w:r>
      <w:r w:rsidR="00A56FF5" w:rsidRPr="00BC1108">
        <w:rPr>
          <w:rFonts w:ascii="Verdana" w:hAnsi="Verdana"/>
          <w:bCs/>
          <w:sz w:val="22"/>
          <w:szCs w:val="22"/>
        </w:rPr>
        <w:t xml:space="preserve">. </w:t>
      </w:r>
      <w:r w:rsidR="009F2DA3" w:rsidRPr="00BC1108">
        <w:rPr>
          <w:rFonts w:ascii="Verdana" w:hAnsi="Verdana"/>
          <w:bCs/>
          <w:sz w:val="22"/>
          <w:szCs w:val="22"/>
        </w:rPr>
        <w:t>Rispetto alla elasticità delle voci precedute da numeri arabi,</w:t>
      </w:r>
      <w:r w:rsidR="00A56FF5" w:rsidRPr="00BC1108">
        <w:rPr>
          <w:rFonts w:ascii="Verdana" w:hAnsi="Verdana"/>
          <w:bCs/>
          <w:sz w:val="22"/>
          <w:szCs w:val="22"/>
        </w:rPr>
        <w:t xml:space="preserve"> qu</w:t>
      </w:r>
      <w:r w:rsidR="009F2DA3" w:rsidRPr="00BC1108">
        <w:rPr>
          <w:rFonts w:ascii="Verdana" w:hAnsi="Verdana"/>
          <w:bCs/>
          <w:sz w:val="22"/>
          <w:szCs w:val="22"/>
        </w:rPr>
        <w:t>ale delle seguenti affermazioni, è falsa</w:t>
      </w:r>
      <w:r w:rsidR="00A56FF5" w:rsidRPr="00BC1108">
        <w:rPr>
          <w:rFonts w:ascii="Verdana" w:hAnsi="Verdana"/>
          <w:bCs/>
          <w:sz w:val="22"/>
          <w:szCs w:val="22"/>
        </w:rPr>
        <w:t>?</w:t>
      </w:r>
    </w:p>
    <w:p w14:paraId="63060F84" w14:textId="405CE544" w:rsidR="00A56FF5" w:rsidRPr="00BC1108" w:rsidRDefault="00A56FF5" w:rsidP="00A56FF5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BC1108">
        <w:rPr>
          <w:rFonts w:ascii="Verdana" w:hAnsi="Verdana" w:cs="Arial"/>
          <w:color w:val="000000" w:themeColor="text1"/>
          <w:sz w:val="22"/>
          <w:szCs w:val="22"/>
        </w:rPr>
        <w:t xml:space="preserve">sono </w:t>
      </w:r>
      <w:r w:rsidR="009F2DA3" w:rsidRPr="00BC1108">
        <w:rPr>
          <w:rFonts w:ascii="Verdana" w:hAnsi="Verdana" w:cs="Arial"/>
          <w:color w:val="000000" w:themeColor="text1"/>
          <w:sz w:val="22"/>
          <w:szCs w:val="22"/>
        </w:rPr>
        <w:t xml:space="preserve">ulteriormente </w:t>
      </w:r>
      <w:r w:rsidRPr="00BC1108">
        <w:rPr>
          <w:rFonts w:ascii="Verdana" w:hAnsi="Verdana" w:cs="Arial"/>
          <w:color w:val="000000" w:themeColor="text1"/>
          <w:sz w:val="22"/>
          <w:szCs w:val="22"/>
        </w:rPr>
        <w:t>suddivisibili</w:t>
      </w:r>
    </w:p>
    <w:p w14:paraId="7A8E1CA8" w14:textId="554DE891" w:rsidR="00A56FF5" w:rsidRPr="00BC1108" w:rsidRDefault="009F2DA3" w:rsidP="00A56FF5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BC1108">
        <w:rPr>
          <w:rFonts w:ascii="Verdana" w:hAnsi="Verdana" w:cs="Arial"/>
          <w:color w:val="000000" w:themeColor="text1"/>
          <w:sz w:val="22"/>
          <w:szCs w:val="22"/>
        </w:rPr>
        <w:t>sono raggruppabili</w:t>
      </w:r>
    </w:p>
    <w:p w14:paraId="38EE53D7" w14:textId="342FA6D4" w:rsidR="00A56FF5" w:rsidRPr="00BC1108" w:rsidRDefault="009F2DA3" w:rsidP="00A56FF5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BC1108">
        <w:rPr>
          <w:rFonts w:ascii="Verdana" w:hAnsi="Verdana" w:cs="Arial"/>
          <w:color w:val="000000" w:themeColor="text1"/>
          <w:sz w:val="22"/>
          <w:szCs w:val="22"/>
        </w:rPr>
        <w:t>sono aggiungibili</w:t>
      </w:r>
    </w:p>
    <w:p w14:paraId="2A132DDB" w14:textId="1BFC31A7" w:rsidR="00A56FF5" w:rsidRPr="00BC1108" w:rsidRDefault="009F2DA3" w:rsidP="00A56FF5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BC1108">
        <w:rPr>
          <w:rFonts w:ascii="Verdana" w:hAnsi="Verdana" w:cs="Arial"/>
          <w:color w:val="000000" w:themeColor="text1"/>
          <w:spacing w:val="-2"/>
          <w:sz w:val="22"/>
          <w:szCs w:val="22"/>
        </w:rPr>
        <w:t>sono eliminabili</w:t>
      </w:r>
    </w:p>
    <w:p w14:paraId="37684E28" w14:textId="77777777" w:rsidR="00BC56BC" w:rsidRPr="00BC1108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FEF6FFC" w14:textId="77777777" w:rsidR="00A56FF5" w:rsidRPr="00BC1108" w:rsidRDefault="00A56FF5" w:rsidP="00360684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3. Secondo il legislatore civilistico, qual è il criterio dominante per la classificazione delle passività?</w:t>
      </w:r>
    </w:p>
    <w:p w14:paraId="2FA7FA47" w14:textId="77777777" w:rsidR="00A56FF5" w:rsidRPr="00BC1108" w:rsidRDefault="00A56FF5" w:rsidP="00A56FF5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BC1108">
        <w:rPr>
          <w:rFonts w:ascii="Verdana" w:hAnsi="Verdana" w:cs="Arial"/>
        </w:rPr>
        <w:t xml:space="preserve">origine  </w:t>
      </w:r>
    </w:p>
    <w:p w14:paraId="5A394690" w14:textId="77777777" w:rsidR="00A56FF5" w:rsidRPr="00BC1108" w:rsidRDefault="00A56FF5" w:rsidP="00A56FF5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BC1108">
        <w:rPr>
          <w:rFonts w:ascii="Verdana" w:hAnsi="Verdana" w:cs="Arial"/>
        </w:rPr>
        <w:t xml:space="preserve">destinazione     </w:t>
      </w:r>
    </w:p>
    <w:p w14:paraId="6254FB2C" w14:textId="77777777" w:rsidR="00A56FF5" w:rsidRPr="00BC1108" w:rsidRDefault="00A56FF5" w:rsidP="00A56FF5">
      <w:pPr>
        <w:pStyle w:val="Paragrafoelenco"/>
        <w:numPr>
          <w:ilvl w:val="0"/>
          <w:numId w:val="10"/>
        </w:numPr>
        <w:spacing w:after="0" w:line="240" w:lineRule="exact"/>
        <w:rPr>
          <w:rFonts w:ascii="Verdana" w:hAnsi="Verdana" w:cs="Arial"/>
        </w:rPr>
      </w:pPr>
      <w:r w:rsidRPr="00BC1108">
        <w:rPr>
          <w:rFonts w:ascii="Verdana" w:hAnsi="Verdana" w:cs="Arial"/>
        </w:rPr>
        <w:t>finanziario</w:t>
      </w:r>
    </w:p>
    <w:p w14:paraId="7134A04C" w14:textId="77777777" w:rsidR="00A56FF5" w:rsidRPr="00BC1108" w:rsidRDefault="00A56FF5" w:rsidP="00A56FF5">
      <w:pPr>
        <w:pStyle w:val="Paragrafoelenco"/>
        <w:numPr>
          <w:ilvl w:val="0"/>
          <w:numId w:val="10"/>
        </w:numPr>
        <w:spacing w:after="0" w:line="240" w:lineRule="exact"/>
        <w:rPr>
          <w:rFonts w:ascii="Verdana" w:hAnsi="Verdana" w:cs="Arial"/>
        </w:rPr>
      </w:pPr>
      <w:r w:rsidRPr="00BC1108">
        <w:rPr>
          <w:rFonts w:ascii="Verdana" w:hAnsi="Verdana" w:cs="Arial"/>
        </w:rPr>
        <w:t xml:space="preserve">economico </w:t>
      </w:r>
    </w:p>
    <w:p w14:paraId="378B2169" w14:textId="77777777" w:rsidR="00BC56BC" w:rsidRPr="00BC1108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26B86448" w14:textId="3D830447" w:rsidR="00A56FF5" w:rsidRPr="00BC1108" w:rsidRDefault="00433CFC" w:rsidP="00360684">
      <w:pPr>
        <w:spacing w:line="240" w:lineRule="exact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4</w:t>
      </w:r>
      <w:r w:rsidR="00A56FF5" w:rsidRPr="00BC1108">
        <w:rPr>
          <w:rFonts w:ascii="Verdana" w:hAnsi="Verdana" w:cs="Arial"/>
          <w:sz w:val="22"/>
          <w:szCs w:val="22"/>
        </w:rPr>
        <w:t>. Qualora un’azienda iscriva a bilancio un risconto passivo, questa stima:</w:t>
      </w:r>
    </w:p>
    <w:p w14:paraId="0AEBF381" w14:textId="77777777" w:rsidR="00A56FF5" w:rsidRPr="00BC1108" w:rsidRDefault="00A56FF5" w:rsidP="00A56FF5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Una quota di costo di competenza futura</w:t>
      </w:r>
    </w:p>
    <w:p w14:paraId="18E94B12" w14:textId="77777777" w:rsidR="00A56FF5" w:rsidRPr="00BC1108" w:rsidRDefault="00A56FF5" w:rsidP="00A56FF5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Un debito riferibile a un’uscita che si presume avverrà in futuro</w:t>
      </w:r>
    </w:p>
    <w:p w14:paraId="48F1B5A6" w14:textId="77777777" w:rsidR="00A56FF5" w:rsidRPr="00BC1108" w:rsidRDefault="00A56FF5" w:rsidP="00A56FF5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Una quota di ricavo di competenza futura</w:t>
      </w:r>
    </w:p>
    <w:p w14:paraId="7BD27F69" w14:textId="77777777" w:rsidR="00A56FF5" w:rsidRPr="00BC1108" w:rsidRDefault="00A56FF5" w:rsidP="00A56FF5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Un credito riferibile a un’entrata che si presume avverrà in futuro</w:t>
      </w:r>
    </w:p>
    <w:p w14:paraId="6F8D7A8E" w14:textId="77777777" w:rsidR="00BC56BC" w:rsidRPr="00BC1108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21499636" w14:textId="6E75A365" w:rsidR="00A56FF5" w:rsidRPr="00BC1108" w:rsidRDefault="00433CFC" w:rsidP="00433CFC">
      <w:pPr>
        <w:spacing w:line="240" w:lineRule="exact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5</w:t>
      </w:r>
      <w:r w:rsidR="00A56FF5" w:rsidRPr="00BC1108">
        <w:rPr>
          <w:rFonts w:ascii="Verdana" w:hAnsi="Verdana" w:cs="Arial"/>
          <w:sz w:val="22"/>
          <w:szCs w:val="22"/>
        </w:rPr>
        <w:t xml:space="preserve">. La capitalizzazione di costi di produzione, produce il seguente effetto sul conto economico civilistico </w:t>
      </w:r>
    </w:p>
    <w:p w14:paraId="52C87768" w14:textId="3FA84FA1" w:rsidR="00433CFC" w:rsidRPr="00BC1108" w:rsidRDefault="00A56FF5" w:rsidP="00433CFC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aumenta i costi della produzione (</w:t>
      </w:r>
      <w:proofErr w:type="spellStart"/>
      <w:r w:rsidRPr="00BC1108">
        <w:rPr>
          <w:rFonts w:ascii="Verdana" w:hAnsi="Verdana" w:cs="Arial"/>
          <w:sz w:val="22"/>
          <w:szCs w:val="22"/>
        </w:rPr>
        <w:t>macroclasse</w:t>
      </w:r>
      <w:proofErr w:type="spellEnd"/>
      <w:r w:rsidRPr="00BC1108">
        <w:rPr>
          <w:rFonts w:ascii="Verdana" w:hAnsi="Verdana" w:cs="Arial"/>
          <w:sz w:val="22"/>
          <w:szCs w:val="22"/>
        </w:rPr>
        <w:t xml:space="preserve"> B)</w:t>
      </w:r>
    </w:p>
    <w:p w14:paraId="38484D3E" w14:textId="3703B845" w:rsidR="00433CFC" w:rsidRPr="00BC1108" w:rsidRDefault="00A56FF5" w:rsidP="00433CFC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riduce i costi della produzione (</w:t>
      </w:r>
      <w:proofErr w:type="spellStart"/>
      <w:r w:rsidRPr="00BC1108">
        <w:rPr>
          <w:rFonts w:ascii="Verdana" w:hAnsi="Verdana" w:cs="Arial"/>
          <w:sz w:val="22"/>
          <w:szCs w:val="22"/>
        </w:rPr>
        <w:t>macroclasse</w:t>
      </w:r>
      <w:proofErr w:type="spellEnd"/>
      <w:r w:rsidRPr="00BC1108">
        <w:rPr>
          <w:rFonts w:ascii="Verdana" w:hAnsi="Verdana" w:cs="Arial"/>
          <w:sz w:val="22"/>
          <w:szCs w:val="22"/>
        </w:rPr>
        <w:t xml:space="preserve"> B)</w:t>
      </w:r>
    </w:p>
    <w:p w14:paraId="4F06A720" w14:textId="24C0EE4F" w:rsidR="00433CFC" w:rsidRPr="00BC1108" w:rsidRDefault="00A56FF5" w:rsidP="00433CFC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aumenta il valore della produzione (</w:t>
      </w:r>
      <w:proofErr w:type="spellStart"/>
      <w:r w:rsidRPr="00BC1108">
        <w:rPr>
          <w:rFonts w:ascii="Verdana" w:hAnsi="Verdana" w:cs="Arial"/>
          <w:sz w:val="22"/>
          <w:szCs w:val="22"/>
        </w:rPr>
        <w:t>macroclasse</w:t>
      </w:r>
      <w:proofErr w:type="spellEnd"/>
      <w:r w:rsidRPr="00BC1108">
        <w:rPr>
          <w:rFonts w:ascii="Verdana" w:hAnsi="Verdana" w:cs="Arial"/>
          <w:sz w:val="22"/>
          <w:szCs w:val="22"/>
        </w:rPr>
        <w:t xml:space="preserve"> A) </w:t>
      </w:r>
    </w:p>
    <w:p w14:paraId="1F146C3D" w14:textId="18830BDE" w:rsidR="00A56FF5" w:rsidRPr="00BC1108" w:rsidRDefault="00A56FF5" w:rsidP="00433CFC">
      <w:pPr>
        <w:numPr>
          <w:ilvl w:val="0"/>
          <w:numId w:val="7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BC1108">
        <w:rPr>
          <w:rFonts w:ascii="Verdana" w:hAnsi="Verdana" w:cs="Arial"/>
          <w:sz w:val="22"/>
          <w:szCs w:val="22"/>
        </w:rPr>
        <w:t>riduce il valore della produzione (</w:t>
      </w:r>
      <w:proofErr w:type="spellStart"/>
      <w:r w:rsidRPr="00BC1108">
        <w:rPr>
          <w:rFonts w:ascii="Verdana" w:hAnsi="Verdana" w:cs="Arial"/>
          <w:sz w:val="22"/>
          <w:szCs w:val="22"/>
        </w:rPr>
        <w:t>macroclasse</w:t>
      </w:r>
      <w:proofErr w:type="spellEnd"/>
      <w:r w:rsidRPr="00BC1108">
        <w:rPr>
          <w:rFonts w:ascii="Verdana" w:hAnsi="Verdana" w:cs="Arial"/>
          <w:sz w:val="22"/>
          <w:szCs w:val="22"/>
        </w:rPr>
        <w:t xml:space="preserve"> A) </w:t>
      </w:r>
    </w:p>
    <w:p w14:paraId="21A38962" w14:textId="77777777" w:rsidR="00BC56BC" w:rsidRPr="00BC1108" w:rsidRDefault="00BC56BC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3CFC" w:rsidRPr="00BC1108" w14:paraId="509BBD6F" w14:textId="77777777" w:rsidTr="00360684">
        <w:trPr>
          <w:trHeight w:val="459"/>
        </w:trPr>
        <w:tc>
          <w:tcPr>
            <w:tcW w:w="9889" w:type="dxa"/>
          </w:tcPr>
          <w:p w14:paraId="5BD334C1" w14:textId="51052513" w:rsidR="00433CFC" w:rsidRPr="00BC1108" w:rsidRDefault="00433CFC" w:rsidP="00360684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C1108">
              <w:rPr>
                <w:rFonts w:ascii="Verdana" w:hAnsi="Verdana" w:cs="Arial"/>
                <w:sz w:val="22"/>
                <w:szCs w:val="22"/>
              </w:rPr>
              <w:t>6. Secondo i principi contabili nazionali, quali beni non sono soggetti alla procedura di ammortamento:</w:t>
            </w:r>
          </w:p>
        </w:tc>
      </w:tr>
      <w:tr w:rsidR="00433CFC" w:rsidRPr="00BC1108" w14:paraId="1D15AD07" w14:textId="77777777" w:rsidTr="00360684">
        <w:tc>
          <w:tcPr>
            <w:tcW w:w="9889" w:type="dxa"/>
          </w:tcPr>
          <w:p w14:paraId="01BF25B1" w14:textId="77777777" w:rsidR="00433CFC" w:rsidRPr="00BC1108" w:rsidRDefault="00433CFC" w:rsidP="00433CFC">
            <w:pPr>
              <w:pStyle w:val="Paragrafoelenco"/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ascii="Verdana" w:hAnsi="Verdana" w:cs="Arial"/>
              </w:rPr>
            </w:pPr>
            <w:r w:rsidRPr="00BC1108">
              <w:rPr>
                <w:rFonts w:ascii="Verdana" w:hAnsi="Verdana" w:cs="Arial"/>
              </w:rPr>
              <w:t>Impianti specifici</w:t>
            </w:r>
          </w:p>
        </w:tc>
      </w:tr>
      <w:tr w:rsidR="00433CFC" w:rsidRPr="00BC1108" w14:paraId="64A60DD7" w14:textId="77777777" w:rsidTr="00360684">
        <w:tc>
          <w:tcPr>
            <w:tcW w:w="9889" w:type="dxa"/>
          </w:tcPr>
          <w:p w14:paraId="639BA216" w14:textId="77777777" w:rsidR="00433CFC" w:rsidRPr="00BC1108" w:rsidRDefault="00433CFC" w:rsidP="00433CFC">
            <w:pPr>
              <w:pStyle w:val="Paragrafoelenco"/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ascii="Verdana" w:hAnsi="Verdana" w:cs="Arial"/>
              </w:rPr>
            </w:pPr>
            <w:r w:rsidRPr="00BC1108">
              <w:rPr>
                <w:rFonts w:ascii="Verdana" w:hAnsi="Verdana" w:cs="Arial"/>
              </w:rPr>
              <w:t xml:space="preserve">Immobilizzazioni sviluppate internamente </w:t>
            </w:r>
          </w:p>
        </w:tc>
      </w:tr>
      <w:tr w:rsidR="00433CFC" w:rsidRPr="00BC1108" w14:paraId="006505AC" w14:textId="77777777" w:rsidTr="00360684">
        <w:tc>
          <w:tcPr>
            <w:tcW w:w="9889" w:type="dxa"/>
          </w:tcPr>
          <w:p w14:paraId="516DE7DE" w14:textId="6B3B8DE9" w:rsidR="00433CFC" w:rsidRPr="00BC1108" w:rsidRDefault="00890FB6" w:rsidP="00433CFC">
            <w:pPr>
              <w:pStyle w:val="Paragrafoelenco"/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Terreni</w:t>
            </w:r>
          </w:p>
        </w:tc>
      </w:tr>
      <w:tr w:rsidR="00433CFC" w:rsidRPr="00BC1108" w14:paraId="4A663098" w14:textId="77777777" w:rsidTr="00360684">
        <w:tc>
          <w:tcPr>
            <w:tcW w:w="9889" w:type="dxa"/>
          </w:tcPr>
          <w:p w14:paraId="3E9738AE" w14:textId="77777777" w:rsidR="00433CFC" w:rsidRPr="00BC1108" w:rsidRDefault="00433CFC" w:rsidP="00433CFC">
            <w:pPr>
              <w:pStyle w:val="Paragrafoelenco"/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ascii="Verdana" w:hAnsi="Verdana" w:cs="Arial"/>
              </w:rPr>
            </w:pPr>
            <w:r w:rsidRPr="00BC1108">
              <w:rPr>
                <w:rFonts w:ascii="Verdana" w:hAnsi="Verdana" w:cs="Arial"/>
              </w:rPr>
              <w:t>Immobili ad uso produttivo</w:t>
            </w:r>
          </w:p>
        </w:tc>
      </w:tr>
    </w:tbl>
    <w:p w14:paraId="2F6F4C69" w14:textId="77777777" w:rsidR="00433CFC" w:rsidRDefault="00433CF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77777777" w:rsidR="007206A4" w:rsidRDefault="007206A4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 (30 punti)</w:t>
      </w:r>
    </w:p>
    <w:p w14:paraId="230EDA9E" w14:textId="77777777" w:rsidR="003113E6" w:rsidRDefault="003113E6" w:rsidP="003113E6">
      <w:pPr>
        <w:spacing w:line="360" w:lineRule="auto"/>
        <w:jc w:val="both"/>
        <w:rPr>
          <w:rFonts w:ascii="Verdana" w:hAnsi="Verdana"/>
          <w:sz w:val="22"/>
        </w:rPr>
      </w:pPr>
      <w:r w:rsidRPr="006316B2">
        <w:rPr>
          <w:rFonts w:ascii="Verdana" w:hAnsi="Verdana"/>
          <w:sz w:val="22"/>
        </w:rPr>
        <w:t>Si richiede di rappresentare gli effetti delle seguenti oper</w:t>
      </w:r>
      <w:r>
        <w:rPr>
          <w:rFonts w:ascii="Verdana" w:hAnsi="Verdana"/>
          <w:sz w:val="22"/>
        </w:rPr>
        <w:t>azioni nei bilanci interessati:</w:t>
      </w:r>
    </w:p>
    <w:p w14:paraId="7809F8B8" w14:textId="77777777" w:rsidR="00360684" w:rsidRPr="00867568" w:rsidRDefault="00360684" w:rsidP="003113E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00C119F" w14:textId="4F7C4086" w:rsidR="005B2A7C" w:rsidRDefault="005B2A7C" w:rsidP="005B2A7C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r>
        <w:rPr>
          <w:rFonts w:ascii="Verdana" w:eastAsiaTheme="minorEastAsia" w:hAnsi="Verdana" w:cs="Verdana Bold Italic"/>
          <w:sz w:val="22"/>
          <w:szCs w:val="22"/>
        </w:rPr>
        <w:t>1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) </w:t>
      </w:r>
      <w:proofErr w:type="gramStart"/>
      <w:r w:rsidR="006E3CF1">
        <w:rPr>
          <w:rFonts w:ascii="Verdana" w:eastAsiaTheme="minorEastAsia" w:hAnsi="Verdana" w:cs="Verdana Bold Italic"/>
          <w:sz w:val="22"/>
          <w:szCs w:val="22"/>
        </w:rPr>
        <w:t xml:space="preserve">Una 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 S.p.A.</w:t>
      </w:r>
      <w:proofErr w:type="gramEnd"/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, </w:t>
      </w:r>
      <w:r w:rsidR="006E3CF1">
        <w:rPr>
          <w:rFonts w:ascii="Verdana" w:eastAsiaTheme="minorEastAsia" w:hAnsi="Verdana" w:cs="Verdana Bold Italic"/>
          <w:sz w:val="22"/>
          <w:szCs w:val="22"/>
        </w:rPr>
        <w:t xml:space="preserve">dopo aver </w:t>
      </w:r>
      <w:r>
        <w:rPr>
          <w:rFonts w:ascii="Verdana" w:eastAsiaTheme="minorEastAsia" w:hAnsi="Verdana" w:cs="Verdana Bold Italic"/>
          <w:sz w:val="22"/>
          <w:szCs w:val="22"/>
        </w:rPr>
        <w:t>operato</w:t>
      </w:r>
      <w:r w:rsidR="006E3CF1">
        <w:rPr>
          <w:rFonts w:ascii="Verdana" w:eastAsiaTheme="minorEastAsia" w:hAnsi="Verdana" w:cs="Verdana Bold Italic"/>
          <w:sz w:val="22"/>
          <w:szCs w:val="22"/>
        </w:rPr>
        <w:t xml:space="preserve"> un ammortamento di euro 30.000 ed a una svalutazione di euro 50.000 dovuta alla stima di una perdita durevole</w:t>
      </w:r>
      <w:r w:rsidR="006E3CF1" w:rsidRPr="00867568">
        <w:rPr>
          <w:rFonts w:ascii="Verdana" w:eastAsiaTheme="minorEastAsia" w:hAnsi="Verdana" w:cs="Verdana Bold Italic"/>
          <w:sz w:val="22"/>
          <w:szCs w:val="22"/>
        </w:rPr>
        <w:t xml:space="preserve"> </w:t>
      </w:r>
      <w:r w:rsidR="006E3CF1">
        <w:rPr>
          <w:rFonts w:ascii="Verdana" w:eastAsiaTheme="minorEastAsia" w:hAnsi="Verdana" w:cs="Verdana Bold Italic"/>
          <w:sz w:val="22"/>
          <w:szCs w:val="22"/>
        </w:rPr>
        <w:t xml:space="preserve">di valore, </w:t>
      </w:r>
      <w:r>
        <w:rPr>
          <w:rFonts w:ascii="Verdana" w:eastAsiaTheme="minorEastAsia" w:hAnsi="Verdana" w:cs="Verdana Bold Italic"/>
          <w:sz w:val="22"/>
          <w:szCs w:val="22"/>
        </w:rPr>
        <w:t xml:space="preserve">iscrive </w:t>
      </w:r>
      <w:r w:rsidR="006E3CF1" w:rsidRPr="00867568">
        <w:rPr>
          <w:rFonts w:ascii="Verdana" w:eastAsiaTheme="minorEastAsia" w:hAnsi="Verdana" w:cs="Verdana Bold Italic"/>
          <w:sz w:val="22"/>
          <w:szCs w:val="22"/>
        </w:rPr>
        <w:t xml:space="preserve"> nel bilancio chiuso al 31/12/2012</w:t>
      </w:r>
      <w:r w:rsidR="006E3CF1">
        <w:rPr>
          <w:rFonts w:ascii="Verdana" w:eastAsiaTheme="minorEastAsia" w:hAnsi="Verdana" w:cs="Verdana Bold Italic"/>
          <w:sz w:val="22"/>
          <w:szCs w:val="22"/>
        </w:rPr>
        <w:t xml:space="preserve"> 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un brevetto </w:t>
      </w:r>
      <w:r w:rsidR="006E3CF1">
        <w:rPr>
          <w:rFonts w:ascii="Verdana" w:eastAsiaTheme="minorEastAsia" w:hAnsi="Verdana" w:cs="Verdana Bold Italic"/>
          <w:sz w:val="22"/>
          <w:szCs w:val="22"/>
        </w:rPr>
        <w:t>al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 valore </w:t>
      </w:r>
      <w:r w:rsidR="006E3CF1">
        <w:rPr>
          <w:rFonts w:ascii="Verdana" w:eastAsiaTheme="minorEastAsia" w:hAnsi="Verdana" w:cs="Verdana Bold Italic"/>
          <w:sz w:val="22"/>
          <w:szCs w:val="22"/>
        </w:rPr>
        <w:t>contab</w:t>
      </w:r>
      <w:r>
        <w:rPr>
          <w:rFonts w:ascii="Verdana" w:eastAsiaTheme="minorEastAsia" w:hAnsi="Verdana" w:cs="Verdana Bold Italic"/>
          <w:sz w:val="22"/>
          <w:szCs w:val="22"/>
        </w:rPr>
        <w:t>ile di euro 100.000</w:t>
      </w:r>
      <w:r w:rsidR="003268E9">
        <w:rPr>
          <w:rFonts w:ascii="Verdana" w:eastAsiaTheme="minorEastAsia" w:hAnsi="Verdana" w:cs="Verdana Bold Italic"/>
          <w:sz w:val="22"/>
          <w:szCs w:val="22"/>
        </w:rPr>
        <w:t xml:space="preserve">. </w:t>
      </w:r>
    </w:p>
    <w:p w14:paraId="030482AF" w14:textId="77777777" w:rsidR="005B2A7C" w:rsidRDefault="005B2A7C" w:rsidP="005B2A7C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r>
        <w:rPr>
          <w:rFonts w:ascii="Verdana" w:eastAsiaTheme="minorEastAsia" w:hAnsi="Verdana" w:cs="Verdana Bold Italic"/>
          <w:sz w:val="22"/>
          <w:szCs w:val="22"/>
        </w:rPr>
        <w:t>Si continua così ad ammortizzare il valore contabile con quote annue di euro 20.000</w:t>
      </w:r>
      <w:r w:rsidR="006E3CF1">
        <w:rPr>
          <w:rFonts w:ascii="Verdana" w:eastAsiaTheme="minorEastAsia" w:hAnsi="Verdana" w:cs="Verdana Bold Italic"/>
          <w:sz w:val="22"/>
          <w:szCs w:val="22"/>
        </w:rPr>
        <w:t xml:space="preserve">. </w:t>
      </w:r>
    </w:p>
    <w:p w14:paraId="6D610C5D" w14:textId="77777777" w:rsidR="005B2A7C" w:rsidRDefault="005B2A7C" w:rsidP="005B2A7C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r>
        <w:rPr>
          <w:rFonts w:ascii="Verdana" w:eastAsiaTheme="minorEastAsia" w:hAnsi="Verdana" w:cs="Verdana Bold Italic"/>
          <w:sz w:val="22"/>
          <w:szCs w:val="22"/>
        </w:rPr>
        <w:t>A</w:t>
      </w:r>
      <w:r w:rsidRPr="00867568">
        <w:rPr>
          <w:rFonts w:ascii="Verdana" w:eastAsiaTheme="minorEastAsia" w:hAnsi="Verdana" w:cs="Verdana Bold Italic"/>
          <w:sz w:val="22"/>
          <w:szCs w:val="22"/>
        </w:rPr>
        <w:t>l 31/12/2014</w:t>
      </w:r>
      <w:r>
        <w:rPr>
          <w:rFonts w:ascii="Verdana" w:eastAsiaTheme="minorEastAsia" w:hAnsi="Verdana" w:cs="Verdana Bold Italic"/>
          <w:sz w:val="22"/>
          <w:szCs w:val="22"/>
        </w:rPr>
        <w:t>,</w:t>
      </w:r>
      <w:r w:rsidRPr="00867568">
        <w:rPr>
          <w:rFonts w:ascii="Verdana" w:eastAsiaTheme="minorEastAsia" w:hAnsi="Verdana" w:cs="Verdana Bold Italic"/>
          <w:sz w:val="22"/>
          <w:szCs w:val="22"/>
        </w:rPr>
        <w:t xml:space="preserve"> </w:t>
      </w:r>
      <w:r>
        <w:rPr>
          <w:rFonts w:ascii="Verdana" w:eastAsiaTheme="minorEastAsia" w:hAnsi="Verdana" w:cs="Verdana Bold Italic"/>
          <w:sz w:val="22"/>
          <w:szCs w:val="22"/>
        </w:rPr>
        <w:t>v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>enute men</w:t>
      </w:r>
      <w:r>
        <w:rPr>
          <w:rFonts w:ascii="Verdana" w:eastAsiaTheme="minorEastAsia" w:hAnsi="Verdana" w:cs="Verdana Bold Italic"/>
          <w:sz w:val="22"/>
          <w:szCs w:val="22"/>
        </w:rPr>
        <w:t>o le ragioni che avevano portato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 alla svalutazione, la società </w:t>
      </w:r>
      <w:r w:rsidR="006E3CF1">
        <w:rPr>
          <w:rFonts w:ascii="Verdana" w:eastAsiaTheme="minorEastAsia" w:hAnsi="Verdana" w:cs="Verdana Bold Italic"/>
          <w:sz w:val="22"/>
          <w:szCs w:val="22"/>
        </w:rPr>
        <w:t>decide il ripristino del valore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. </w:t>
      </w:r>
    </w:p>
    <w:p w14:paraId="0ACBBA42" w14:textId="786544E2" w:rsidR="00B308F2" w:rsidRPr="00B17821" w:rsidRDefault="00C906E1" w:rsidP="00B17821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 w:cs="Verdana Bold Italic"/>
          <w:sz w:val="22"/>
          <w:szCs w:val="22"/>
        </w:rPr>
      </w:pPr>
      <w:r>
        <w:rPr>
          <w:rFonts w:ascii="Verdana" w:eastAsiaTheme="minorEastAsia" w:hAnsi="Verdana" w:cs="Verdana Bold Italic"/>
          <w:sz w:val="22"/>
          <w:szCs w:val="22"/>
        </w:rPr>
        <w:t>Si proceda alla ripresa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 di valore del brevetto e alla rappresentazione in bilancio degli effetti dell’operazione</w:t>
      </w:r>
      <w:r w:rsidR="005B2A7C">
        <w:rPr>
          <w:rFonts w:ascii="Verdana" w:eastAsiaTheme="minorEastAsia" w:hAnsi="Verdana" w:cs="Verdana Bold Italic"/>
          <w:sz w:val="22"/>
          <w:szCs w:val="22"/>
        </w:rPr>
        <w:t xml:space="preserve"> al </w:t>
      </w:r>
      <w:r w:rsidR="005B2A7C" w:rsidRPr="00867568">
        <w:rPr>
          <w:rFonts w:ascii="Verdana" w:eastAsiaTheme="minorEastAsia" w:hAnsi="Verdana" w:cs="Verdana Bold Italic"/>
          <w:sz w:val="22"/>
          <w:szCs w:val="22"/>
        </w:rPr>
        <w:t>31/12/2014</w:t>
      </w:r>
      <w:r w:rsidR="00360684" w:rsidRPr="00867568">
        <w:rPr>
          <w:rFonts w:ascii="Verdana" w:eastAsiaTheme="minorEastAsia" w:hAnsi="Verdana" w:cs="Verdana Bold Italic"/>
          <w:sz w:val="22"/>
          <w:szCs w:val="22"/>
        </w:rPr>
        <w:t xml:space="preserve">. </w:t>
      </w:r>
    </w:p>
    <w:sectPr w:rsidR="00B308F2" w:rsidRPr="00B17821" w:rsidSect="000D1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B60DA" w14:textId="77777777" w:rsidR="004A367D" w:rsidRDefault="004A367D">
      <w:r>
        <w:separator/>
      </w:r>
    </w:p>
  </w:endnote>
  <w:endnote w:type="continuationSeparator" w:id="0">
    <w:p w14:paraId="2E1245B3" w14:textId="77777777" w:rsidR="004A367D" w:rsidRDefault="004A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 Bold Italic"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87D0" w14:textId="77777777" w:rsidR="00C12835" w:rsidRDefault="00C128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2463A855" w:rsidR="006E3CF1" w:rsidRDefault="006E3CF1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F76BE7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6E3CF1" w:rsidRDefault="006E3CF1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2574" w14:textId="77777777" w:rsidR="00C12835" w:rsidRDefault="00C128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522D1" w14:textId="77777777" w:rsidR="004A367D" w:rsidRDefault="004A367D">
      <w:r>
        <w:separator/>
      </w:r>
    </w:p>
  </w:footnote>
  <w:footnote w:type="continuationSeparator" w:id="0">
    <w:p w14:paraId="0162CF88" w14:textId="77777777" w:rsidR="004A367D" w:rsidRDefault="004A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AC89" w14:textId="77777777" w:rsidR="00C12835" w:rsidRDefault="00C128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6E3CF1" w:rsidRPr="00862D0F" w:rsidRDefault="006E3CF1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BE43" w14:textId="77777777" w:rsidR="00C12835" w:rsidRDefault="00C128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2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81A46"/>
    <w:rsid w:val="00087DA3"/>
    <w:rsid w:val="000D1B75"/>
    <w:rsid w:val="000E36D0"/>
    <w:rsid w:val="00133666"/>
    <w:rsid w:val="00157424"/>
    <w:rsid w:val="001830BA"/>
    <w:rsid w:val="001E7D09"/>
    <w:rsid w:val="002145AA"/>
    <w:rsid w:val="002416FB"/>
    <w:rsid w:val="0028266E"/>
    <w:rsid w:val="00297C9B"/>
    <w:rsid w:val="002A2ED8"/>
    <w:rsid w:val="003113E6"/>
    <w:rsid w:val="003149CC"/>
    <w:rsid w:val="003268E9"/>
    <w:rsid w:val="0035063A"/>
    <w:rsid w:val="00354C2F"/>
    <w:rsid w:val="00360684"/>
    <w:rsid w:val="00397C5C"/>
    <w:rsid w:val="003E5D9C"/>
    <w:rsid w:val="003E5EE7"/>
    <w:rsid w:val="00433CFC"/>
    <w:rsid w:val="00483B04"/>
    <w:rsid w:val="00487662"/>
    <w:rsid w:val="00495736"/>
    <w:rsid w:val="00497E91"/>
    <w:rsid w:val="004A09E1"/>
    <w:rsid w:val="004A367D"/>
    <w:rsid w:val="004B238D"/>
    <w:rsid w:val="004E3B45"/>
    <w:rsid w:val="005123C1"/>
    <w:rsid w:val="00515070"/>
    <w:rsid w:val="00530CBC"/>
    <w:rsid w:val="005622F2"/>
    <w:rsid w:val="00595DC1"/>
    <w:rsid w:val="005B2A7C"/>
    <w:rsid w:val="005C06E5"/>
    <w:rsid w:val="005E2355"/>
    <w:rsid w:val="005E50A4"/>
    <w:rsid w:val="006244AC"/>
    <w:rsid w:val="006465F8"/>
    <w:rsid w:val="00671536"/>
    <w:rsid w:val="00686C1B"/>
    <w:rsid w:val="006C3B3A"/>
    <w:rsid w:val="006D5AE4"/>
    <w:rsid w:val="006E3CF1"/>
    <w:rsid w:val="007206A4"/>
    <w:rsid w:val="00724FAB"/>
    <w:rsid w:val="0073048B"/>
    <w:rsid w:val="00737316"/>
    <w:rsid w:val="0079109A"/>
    <w:rsid w:val="007A111B"/>
    <w:rsid w:val="007D062C"/>
    <w:rsid w:val="007D3CA1"/>
    <w:rsid w:val="0080678B"/>
    <w:rsid w:val="0082235B"/>
    <w:rsid w:val="00862D0F"/>
    <w:rsid w:val="00867568"/>
    <w:rsid w:val="008703BE"/>
    <w:rsid w:val="0088233B"/>
    <w:rsid w:val="00890FB6"/>
    <w:rsid w:val="00922A4D"/>
    <w:rsid w:val="009377FA"/>
    <w:rsid w:val="00937BA4"/>
    <w:rsid w:val="009827EE"/>
    <w:rsid w:val="00983C9C"/>
    <w:rsid w:val="009D52AE"/>
    <w:rsid w:val="009F2DA3"/>
    <w:rsid w:val="00A10A85"/>
    <w:rsid w:val="00A33853"/>
    <w:rsid w:val="00A54099"/>
    <w:rsid w:val="00A56FF5"/>
    <w:rsid w:val="00AC1E86"/>
    <w:rsid w:val="00AF645D"/>
    <w:rsid w:val="00B11168"/>
    <w:rsid w:val="00B17821"/>
    <w:rsid w:val="00B308F2"/>
    <w:rsid w:val="00B475FD"/>
    <w:rsid w:val="00B62755"/>
    <w:rsid w:val="00B75D3D"/>
    <w:rsid w:val="00B762B4"/>
    <w:rsid w:val="00B9540F"/>
    <w:rsid w:val="00B96810"/>
    <w:rsid w:val="00B9688D"/>
    <w:rsid w:val="00BB1183"/>
    <w:rsid w:val="00BC1108"/>
    <w:rsid w:val="00BC56BC"/>
    <w:rsid w:val="00C12835"/>
    <w:rsid w:val="00C40C29"/>
    <w:rsid w:val="00C57F3C"/>
    <w:rsid w:val="00C8339B"/>
    <w:rsid w:val="00C906E1"/>
    <w:rsid w:val="00D01741"/>
    <w:rsid w:val="00D26792"/>
    <w:rsid w:val="00DA1FD8"/>
    <w:rsid w:val="00DD14A4"/>
    <w:rsid w:val="00E22BFA"/>
    <w:rsid w:val="00E27E16"/>
    <w:rsid w:val="00E36F73"/>
    <w:rsid w:val="00E9096D"/>
    <w:rsid w:val="00EB7244"/>
    <w:rsid w:val="00F07A46"/>
    <w:rsid w:val="00F2722C"/>
    <w:rsid w:val="00F428DB"/>
    <w:rsid w:val="00F4565F"/>
    <w:rsid w:val="00F62ECA"/>
    <w:rsid w:val="00F656A1"/>
    <w:rsid w:val="00F76BE7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8F75E4FA-94B4-4CCE-BDEA-0B885527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FDE1-2967-49B4-8D5C-21AA4F6A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7</cp:revision>
  <cp:lastPrinted>2016-09-09T09:12:00Z</cp:lastPrinted>
  <dcterms:created xsi:type="dcterms:W3CDTF">2016-11-21T07:56:00Z</dcterms:created>
  <dcterms:modified xsi:type="dcterms:W3CDTF">2020-09-28T05:18:00Z</dcterms:modified>
</cp:coreProperties>
</file>