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CF4CF" w14:textId="77777777" w:rsidR="00862D0F" w:rsidRDefault="00862D0F" w:rsidP="00862D0F">
      <w:pPr>
        <w:jc w:val="center"/>
        <w:rPr>
          <w:rFonts w:ascii="Verdana" w:hAnsi="Verdana"/>
          <w:sz w:val="22"/>
          <w:szCs w:val="22"/>
        </w:rPr>
      </w:pPr>
      <w:r>
        <w:rPr>
          <w:rFonts w:ascii="Verdana" w:hAnsi="Verdana"/>
          <w:sz w:val="22"/>
          <w:szCs w:val="22"/>
        </w:rPr>
        <w:t>Università di Firenze</w:t>
      </w:r>
    </w:p>
    <w:p w14:paraId="2718995E" w14:textId="2711EA3B" w:rsidR="00862D0F" w:rsidRDefault="00862D0F" w:rsidP="00862D0F">
      <w:pPr>
        <w:jc w:val="center"/>
        <w:rPr>
          <w:rFonts w:ascii="Verdana" w:hAnsi="Verdana"/>
          <w:sz w:val="22"/>
          <w:szCs w:val="22"/>
        </w:rPr>
      </w:pPr>
      <w:r w:rsidRPr="00FD02D8">
        <w:rPr>
          <w:rFonts w:ascii="Verdana" w:hAnsi="Verdana"/>
          <w:sz w:val="22"/>
          <w:szCs w:val="22"/>
          <w:highlight w:val="yellow"/>
        </w:rPr>
        <w:t xml:space="preserve">Corso di Bilancio </w:t>
      </w:r>
      <w:r w:rsidR="00FD02D8" w:rsidRPr="00FD02D8">
        <w:rPr>
          <w:rFonts w:ascii="Verdana" w:hAnsi="Verdana"/>
          <w:sz w:val="22"/>
          <w:szCs w:val="22"/>
          <w:highlight w:val="yellow"/>
        </w:rPr>
        <w:t>– domande 06</w:t>
      </w:r>
    </w:p>
    <w:p w14:paraId="6A0671C9" w14:textId="77777777" w:rsidR="00E22BFA" w:rsidRDefault="007206A4" w:rsidP="007206A4">
      <w:pPr>
        <w:tabs>
          <w:tab w:val="left" w:pos="7387"/>
        </w:tabs>
        <w:jc w:val="both"/>
        <w:rPr>
          <w:rFonts w:ascii="Verdana" w:hAnsi="Verdana"/>
          <w:sz w:val="22"/>
          <w:szCs w:val="22"/>
        </w:rPr>
      </w:pPr>
      <w:r>
        <w:rPr>
          <w:rFonts w:ascii="Verdana" w:hAnsi="Verdana"/>
          <w:sz w:val="22"/>
          <w:szCs w:val="22"/>
        </w:rPr>
        <w:tab/>
      </w:r>
    </w:p>
    <w:p w14:paraId="144828C7" w14:textId="77777777" w:rsidR="00E22BFA" w:rsidRDefault="00E22BFA" w:rsidP="00E22BFA">
      <w:pPr>
        <w:jc w:val="both"/>
        <w:outlineLvl w:val="0"/>
        <w:rPr>
          <w:rFonts w:ascii="Verdana" w:hAnsi="Verdana"/>
          <w:b/>
          <w:sz w:val="22"/>
          <w:szCs w:val="22"/>
        </w:rPr>
      </w:pPr>
      <w:r>
        <w:rPr>
          <w:rFonts w:ascii="Verdana" w:hAnsi="Verdana"/>
          <w:b/>
          <w:sz w:val="22"/>
          <w:szCs w:val="22"/>
        </w:rPr>
        <w:t>Domande chiuse (ciascuna risposta punti: 2 corretta, 0 assente, -1 errata)</w:t>
      </w:r>
    </w:p>
    <w:p w14:paraId="2F511E54" w14:textId="77777777" w:rsidR="00E22BFA" w:rsidRPr="00E22BFA" w:rsidRDefault="00E22BFA" w:rsidP="00E22BFA">
      <w:pPr>
        <w:jc w:val="both"/>
        <w:outlineLvl w:val="0"/>
        <w:rPr>
          <w:rFonts w:ascii="Verdana" w:hAnsi="Verdana"/>
          <w:b/>
          <w:sz w:val="22"/>
          <w:szCs w:val="22"/>
        </w:rPr>
      </w:pPr>
    </w:p>
    <w:p w14:paraId="0C602855" w14:textId="77777777" w:rsidR="006C3B3A" w:rsidRDefault="006C3B3A" w:rsidP="00E22BFA">
      <w:pPr>
        <w:spacing w:line="240" w:lineRule="exact"/>
        <w:jc w:val="both"/>
        <w:rPr>
          <w:rFonts w:ascii="Verdana" w:hAnsi="Verdana" w:cs="Arial"/>
          <w:sz w:val="22"/>
          <w:szCs w:val="22"/>
        </w:rPr>
      </w:pPr>
    </w:p>
    <w:p w14:paraId="7428E0F4" w14:textId="77777777" w:rsidR="00DF74DD" w:rsidRDefault="00DF74DD" w:rsidP="00E22BFA">
      <w:pPr>
        <w:spacing w:line="240" w:lineRule="exact"/>
        <w:jc w:val="both"/>
        <w:rPr>
          <w:rFonts w:ascii="Verdana" w:hAnsi="Verdana" w:cs="Arial"/>
          <w:sz w:val="22"/>
          <w:szCs w:val="22"/>
        </w:rPr>
      </w:pPr>
    </w:p>
    <w:p w14:paraId="2DEFAF45" w14:textId="758822A2" w:rsidR="00DF74DD" w:rsidRPr="00D23527" w:rsidRDefault="002B31C3" w:rsidP="00DF74DD">
      <w:pPr>
        <w:spacing w:line="240" w:lineRule="exact"/>
        <w:jc w:val="both"/>
        <w:rPr>
          <w:rFonts w:ascii="Verdana" w:hAnsi="Verdana"/>
          <w:bCs/>
          <w:sz w:val="22"/>
          <w:szCs w:val="22"/>
        </w:rPr>
      </w:pPr>
      <w:r w:rsidRPr="00D23527">
        <w:rPr>
          <w:rFonts w:ascii="Verdana" w:hAnsi="Verdana"/>
          <w:bCs/>
          <w:sz w:val="22"/>
          <w:szCs w:val="22"/>
        </w:rPr>
        <w:t>1</w:t>
      </w:r>
      <w:r w:rsidR="00DF74DD" w:rsidRPr="00D23527">
        <w:rPr>
          <w:rFonts w:ascii="Verdana" w:hAnsi="Verdana"/>
          <w:bCs/>
          <w:sz w:val="22"/>
          <w:szCs w:val="22"/>
        </w:rPr>
        <w:t>. Con riferimento all’acquisizione a titolo gratuito di una immobilizzazione, quale delle seguenti affermazioni è FALSA:</w:t>
      </w:r>
    </w:p>
    <w:p w14:paraId="5F23AB7A" w14:textId="77777777" w:rsidR="00DF74DD" w:rsidRPr="00D23527" w:rsidRDefault="00DF74DD" w:rsidP="00DF74DD">
      <w:pPr>
        <w:pStyle w:val="Corpotesto"/>
        <w:numPr>
          <w:ilvl w:val="0"/>
          <w:numId w:val="17"/>
        </w:numPr>
        <w:spacing w:before="0" w:line="240" w:lineRule="exact"/>
        <w:contextualSpacing/>
        <w:jc w:val="both"/>
        <w:rPr>
          <w:rFonts w:ascii="Verdana" w:hAnsi="Verdana"/>
          <w:bCs/>
          <w:sz w:val="22"/>
          <w:szCs w:val="22"/>
        </w:rPr>
      </w:pPr>
      <w:r w:rsidRPr="00D23527">
        <w:rPr>
          <w:rFonts w:ascii="Verdana" w:hAnsi="Verdana"/>
          <w:bCs/>
          <w:sz w:val="22"/>
          <w:szCs w:val="22"/>
        </w:rPr>
        <w:t>L’iscrizione nell’attivo avviene comunque</w:t>
      </w:r>
    </w:p>
    <w:p w14:paraId="7676571C" w14:textId="77777777" w:rsidR="00DF74DD" w:rsidRPr="00D23527" w:rsidRDefault="00DF74DD" w:rsidP="00DF74DD">
      <w:pPr>
        <w:pStyle w:val="Corpotesto"/>
        <w:numPr>
          <w:ilvl w:val="0"/>
          <w:numId w:val="17"/>
        </w:numPr>
        <w:spacing w:before="0" w:line="240" w:lineRule="exact"/>
        <w:contextualSpacing/>
        <w:jc w:val="both"/>
        <w:rPr>
          <w:rFonts w:ascii="Verdana" w:hAnsi="Verdana"/>
          <w:bCs/>
          <w:sz w:val="22"/>
          <w:szCs w:val="22"/>
        </w:rPr>
      </w:pPr>
      <w:r w:rsidRPr="00D23527">
        <w:rPr>
          <w:rFonts w:ascii="Verdana" w:hAnsi="Verdana"/>
          <w:bCs/>
          <w:sz w:val="22"/>
          <w:szCs w:val="22"/>
        </w:rPr>
        <w:t>Il valore deve essere stimato e iscritto nell’attivo</w:t>
      </w:r>
    </w:p>
    <w:p w14:paraId="34F8CDAD" w14:textId="77777777" w:rsidR="00DF74DD" w:rsidRPr="00D23527" w:rsidRDefault="00DF74DD" w:rsidP="00DF74DD">
      <w:pPr>
        <w:pStyle w:val="Corpotesto"/>
        <w:numPr>
          <w:ilvl w:val="0"/>
          <w:numId w:val="17"/>
        </w:numPr>
        <w:spacing w:before="0" w:line="240" w:lineRule="exact"/>
        <w:contextualSpacing/>
        <w:jc w:val="both"/>
        <w:rPr>
          <w:rFonts w:ascii="Verdana" w:hAnsi="Verdana"/>
          <w:bCs/>
          <w:sz w:val="22"/>
          <w:szCs w:val="22"/>
        </w:rPr>
      </w:pPr>
      <w:r w:rsidRPr="00D23527">
        <w:rPr>
          <w:rFonts w:ascii="Verdana" w:hAnsi="Verdana"/>
          <w:bCs/>
          <w:sz w:val="22"/>
          <w:szCs w:val="22"/>
        </w:rPr>
        <w:t>Si rileva una sopravvenienza attiva nel conto economico al netto di eventuali oneri di inserimento</w:t>
      </w:r>
    </w:p>
    <w:p w14:paraId="47F72D1B" w14:textId="77777777" w:rsidR="00DF74DD" w:rsidRPr="00D23527" w:rsidRDefault="00DF74DD" w:rsidP="00984F1F">
      <w:pPr>
        <w:pStyle w:val="Corpotesto"/>
        <w:numPr>
          <w:ilvl w:val="0"/>
          <w:numId w:val="17"/>
        </w:numPr>
        <w:spacing w:before="0" w:line="240" w:lineRule="exact"/>
        <w:contextualSpacing/>
        <w:jc w:val="both"/>
        <w:rPr>
          <w:rFonts w:ascii="Verdana" w:hAnsi="Verdana"/>
          <w:bCs/>
          <w:sz w:val="22"/>
          <w:szCs w:val="22"/>
        </w:rPr>
      </w:pPr>
      <w:r w:rsidRPr="00D23527">
        <w:rPr>
          <w:rFonts w:ascii="Verdana" w:hAnsi="Verdana"/>
          <w:bCs/>
          <w:sz w:val="22"/>
          <w:szCs w:val="22"/>
        </w:rPr>
        <w:t>L’iscrizione in bilancio può essere omessa con il consenso del collegio sindacale</w:t>
      </w:r>
    </w:p>
    <w:p w14:paraId="5F4ADFC2" w14:textId="77777777" w:rsidR="00DF74DD" w:rsidRPr="00D23527" w:rsidRDefault="00DF74DD" w:rsidP="00984F1F">
      <w:pPr>
        <w:spacing w:line="240" w:lineRule="exact"/>
        <w:jc w:val="both"/>
        <w:rPr>
          <w:rFonts w:ascii="Verdana" w:hAnsi="Verdana" w:cs="Arial"/>
          <w:sz w:val="22"/>
          <w:szCs w:val="22"/>
        </w:rPr>
      </w:pPr>
    </w:p>
    <w:p w14:paraId="5DE06FE9" w14:textId="64DD603E" w:rsidR="00EC4BD8" w:rsidRPr="00D23527" w:rsidRDefault="002B31C3" w:rsidP="00984F1F">
      <w:pPr>
        <w:jc w:val="both"/>
        <w:rPr>
          <w:rFonts w:ascii="Verdana" w:hAnsi="Verdana"/>
          <w:sz w:val="22"/>
          <w:szCs w:val="22"/>
        </w:rPr>
      </w:pPr>
      <w:r w:rsidRPr="00D23527">
        <w:rPr>
          <w:rFonts w:ascii="Verdana" w:hAnsi="Verdana"/>
          <w:sz w:val="22"/>
          <w:szCs w:val="22"/>
        </w:rPr>
        <w:t>2</w:t>
      </w:r>
      <w:r w:rsidR="00EC4BD8" w:rsidRPr="00D23527">
        <w:rPr>
          <w:rFonts w:ascii="Verdana" w:hAnsi="Verdana"/>
          <w:sz w:val="22"/>
          <w:szCs w:val="22"/>
        </w:rPr>
        <w:t>. L’acquisto di partecipazioni in società controlla</w:t>
      </w:r>
      <w:r w:rsidR="00984F1F" w:rsidRPr="00D23527">
        <w:rPr>
          <w:rFonts w:ascii="Verdana" w:hAnsi="Verdana"/>
          <w:sz w:val="22"/>
          <w:szCs w:val="22"/>
        </w:rPr>
        <w:t>te</w:t>
      </w:r>
      <w:r w:rsidR="00EC4BD8" w:rsidRPr="00D23527">
        <w:rPr>
          <w:rFonts w:ascii="Verdana" w:hAnsi="Verdana"/>
          <w:sz w:val="22"/>
          <w:szCs w:val="22"/>
        </w:rPr>
        <w:t>:</w:t>
      </w:r>
    </w:p>
    <w:p w14:paraId="06322367" w14:textId="77777777" w:rsidR="00EC4BD8" w:rsidRPr="00D23527" w:rsidRDefault="00EC4BD8" w:rsidP="00984F1F">
      <w:pPr>
        <w:pStyle w:val="Paragrafoelenco"/>
        <w:numPr>
          <w:ilvl w:val="0"/>
          <w:numId w:val="6"/>
        </w:numPr>
        <w:spacing w:after="0" w:line="240" w:lineRule="auto"/>
        <w:jc w:val="both"/>
        <w:rPr>
          <w:rFonts w:ascii="Verdana" w:hAnsi="Verdana"/>
        </w:rPr>
      </w:pPr>
      <w:r w:rsidRPr="00D23527">
        <w:rPr>
          <w:rFonts w:ascii="Verdana" w:hAnsi="Verdana"/>
        </w:rPr>
        <w:t>è possibile, senza limiti e cautele</w:t>
      </w:r>
    </w:p>
    <w:p w14:paraId="4C84CD28" w14:textId="77777777" w:rsidR="00EC4BD8" w:rsidRPr="00D23527" w:rsidRDefault="00EC4BD8" w:rsidP="00984F1F">
      <w:pPr>
        <w:pStyle w:val="Paragrafoelenco"/>
        <w:numPr>
          <w:ilvl w:val="0"/>
          <w:numId w:val="6"/>
        </w:numPr>
        <w:spacing w:after="0" w:line="240" w:lineRule="auto"/>
        <w:jc w:val="both"/>
        <w:rPr>
          <w:rFonts w:ascii="Verdana" w:hAnsi="Verdana"/>
        </w:rPr>
      </w:pPr>
      <w:r w:rsidRPr="00D23527">
        <w:rPr>
          <w:rFonts w:ascii="Verdana" w:hAnsi="Verdana"/>
        </w:rPr>
        <w:t>è vietato</w:t>
      </w:r>
    </w:p>
    <w:p w14:paraId="1DBF4DDA" w14:textId="77777777" w:rsidR="00EC4BD8" w:rsidRPr="00D23527" w:rsidRDefault="00EC4BD8" w:rsidP="00984F1F">
      <w:pPr>
        <w:pStyle w:val="Paragrafoelenco"/>
        <w:numPr>
          <w:ilvl w:val="0"/>
          <w:numId w:val="6"/>
        </w:numPr>
        <w:spacing w:after="0" w:line="240" w:lineRule="auto"/>
        <w:jc w:val="both"/>
        <w:rPr>
          <w:rFonts w:ascii="Verdana" w:hAnsi="Verdana"/>
        </w:rPr>
      </w:pPr>
      <w:r w:rsidRPr="00D23527">
        <w:rPr>
          <w:rFonts w:ascii="Verdana" w:hAnsi="Verdana"/>
        </w:rPr>
        <w:t>è previsto con gli stessi limiti e cautele dell’acquisto di azioni proprie</w:t>
      </w:r>
    </w:p>
    <w:p w14:paraId="4F1A6143" w14:textId="294B0C31" w:rsidR="00EC4BD8" w:rsidRPr="00D23527" w:rsidRDefault="00EC4BD8" w:rsidP="00984F1F">
      <w:pPr>
        <w:pStyle w:val="Paragrafoelenco"/>
        <w:numPr>
          <w:ilvl w:val="0"/>
          <w:numId w:val="6"/>
        </w:numPr>
        <w:spacing w:after="0" w:line="240" w:lineRule="auto"/>
        <w:jc w:val="both"/>
        <w:rPr>
          <w:rFonts w:ascii="Verdana" w:hAnsi="Verdana"/>
        </w:rPr>
      </w:pPr>
      <w:r w:rsidRPr="00D23527">
        <w:rPr>
          <w:rFonts w:ascii="Verdana" w:hAnsi="Verdana"/>
        </w:rPr>
        <w:t xml:space="preserve">è previsto con gli stessi limiti e cautele per l’acquisto di azioni proprie ma non prevede </w:t>
      </w:r>
      <w:proofErr w:type="gramStart"/>
      <w:r w:rsidRPr="00D23527">
        <w:rPr>
          <w:rFonts w:ascii="Verdana" w:hAnsi="Verdana"/>
        </w:rPr>
        <w:t>la  loro</w:t>
      </w:r>
      <w:proofErr w:type="gramEnd"/>
      <w:r w:rsidRPr="00D23527">
        <w:rPr>
          <w:rFonts w:ascii="Verdana" w:hAnsi="Verdana"/>
        </w:rPr>
        <w:t xml:space="preserve"> collocazione </w:t>
      </w:r>
      <w:r w:rsidR="00FD02D8">
        <w:rPr>
          <w:rFonts w:ascii="Verdana" w:hAnsi="Verdana"/>
        </w:rPr>
        <w:t xml:space="preserve">nel passivo </w:t>
      </w:r>
      <w:r w:rsidRPr="00D23527">
        <w:rPr>
          <w:rFonts w:ascii="Verdana" w:hAnsi="Verdana"/>
        </w:rPr>
        <w:t>in una riserva del</w:t>
      </w:r>
      <w:r w:rsidR="00FD02D8">
        <w:rPr>
          <w:rFonts w:ascii="Verdana" w:hAnsi="Verdana"/>
        </w:rPr>
        <w:t xml:space="preserve"> patrimonio netto</w:t>
      </w:r>
    </w:p>
    <w:p w14:paraId="4AA502C6" w14:textId="77777777" w:rsidR="00BC56BC" w:rsidRPr="00D23527" w:rsidRDefault="00BC56BC" w:rsidP="00984F1F">
      <w:pPr>
        <w:jc w:val="both"/>
        <w:rPr>
          <w:rFonts w:ascii="Verdana" w:hAnsi="Verdana" w:cs="Arial"/>
          <w:color w:val="000000" w:themeColor="text1"/>
          <w:sz w:val="22"/>
          <w:szCs w:val="22"/>
        </w:rPr>
      </w:pPr>
    </w:p>
    <w:p w14:paraId="448C012F" w14:textId="1F740F87" w:rsidR="00EC4BD8" w:rsidRPr="00D23527" w:rsidRDefault="002B31C3" w:rsidP="00984F1F">
      <w:pPr>
        <w:jc w:val="both"/>
        <w:rPr>
          <w:rFonts w:ascii="Verdana" w:hAnsi="Verdana"/>
          <w:sz w:val="22"/>
          <w:szCs w:val="22"/>
        </w:rPr>
      </w:pPr>
      <w:r w:rsidRPr="00D23527">
        <w:rPr>
          <w:rFonts w:ascii="Verdana" w:hAnsi="Verdana"/>
          <w:sz w:val="22"/>
          <w:szCs w:val="22"/>
        </w:rPr>
        <w:t>3</w:t>
      </w:r>
      <w:r w:rsidR="00EC4BD8" w:rsidRPr="00D23527">
        <w:rPr>
          <w:rFonts w:ascii="Verdana" w:hAnsi="Verdana"/>
          <w:sz w:val="22"/>
          <w:szCs w:val="22"/>
        </w:rPr>
        <w:t>. La riforma del bilancio (</w:t>
      </w:r>
      <w:proofErr w:type="spellStart"/>
      <w:r w:rsidR="00EC4BD8" w:rsidRPr="00D23527">
        <w:rPr>
          <w:rFonts w:ascii="Verdana" w:hAnsi="Verdana"/>
          <w:sz w:val="22"/>
          <w:szCs w:val="22"/>
        </w:rPr>
        <w:t>Dlgs</w:t>
      </w:r>
      <w:proofErr w:type="spellEnd"/>
      <w:r w:rsidR="00EC4BD8" w:rsidRPr="00D23527">
        <w:rPr>
          <w:rFonts w:ascii="Verdana" w:hAnsi="Verdana"/>
          <w:sz w:val="22"/>
          <w:szCs w:val="22"/>
        </w:rPr>
        <w:t xml:space="preserve"> 139/15) prevede, rispetto alle azioni proprie, il loro inserimento:</w:t>
      </w:r>
    </w:p>
    <w:p w14:paraId="4A1634CD" w14:textId="77777777" w:rsidR="00EC4BD8" w:rsidRPr="00D23527" w:rsidRDefault="00EC4BD8" w:rsidP="00984F1F">
      <w:pPr>
        <w:pStyle w:val="Paragrafoelenco"/>
        <w:numPr>
          <w:ilvl w:val="0"/>
          <w:numId w:val="6"/>
        </w:numPr>
        <w:spacing w:after="0" w:line="240" w:lineRule="auto"/>
        <w:jc w:val="both"/>
        <w:rPr>
          <w:rFonts w:ascii="Verdana" w:hAnsi="Verdana"/>
        </w:rPr>
      </w:pPr>
      <w:r w:rsidRPr="00D23527">
        <w:rPr>
          <w:rFonts w:ascii="Verdana" w:hAnsi="Verdana"/>
        </w:rPr>
        <w:t xml:space="preserve">nell’attivo a correzione dei crediti verso soci </w:t>
      </w:r>
    </w:p>
    <w:p w14:paraId="50F47650" w14:textId="77777777" w:rsidR="00EC4BD8" w:rsidRPr="00D23527" w:rsidRDefault="00EC4BD8" w:rsidP="00984F1F">
      <w:pPr>
        <w:pStyle w:val="Paragrafoelenco"/>
        <w:numPr>
          <w:ilvl w:val="0"/>
          <w:numId w:val="6"/>
        </w:numPr>
        <w:spacing w:after="0" w:line="240" w:lineRule="auto"/>
        <w:jc w:val="both"/>
        <w:rPr>
          <w:rFonts w:ascii="Verdana" w:hAnsi="Verdana"/>
        </w:rPr>
      </w:pPr>
      <w:r w:rsidRPr="00D23527">
        <w:rPr>
          <w:rFonts w:ascii="Verdana" w:hAnsi="Verdana"/>
        </w:rPr>
        <w:t xml:space="preserve">nell’attivo tra le partecipazioni in controllanti </w:t>
      </w:r>
    </w:p>
    <w:p w14:paraId="4D6BACBC" w14:textId="77777777" w:rsidR="00EC4BD8" w:rsidRPr="00D23527" w:rsidRDefault="00EC4BD8" w:rsidP="00984F1F">
      <w:pPr>
        <w:pStyle w:val="Paragrafoelenco"/>
        <w:numPr>
          <w:ilvl w:val="0"/>
          <w:numId w:val="6"/>
        </w:numPr>
        <w:spacing w:after="0" w:line="240" w:lineRule="auto"/>
        <w:jc w:val="both"/>
        <w:rPr>
          <w:rFonts w:ascii="Verdana" w:hAnsi="Verdana"/>
        </w:rPr>
      </w:pPr>
      <w:r w:rsidRPr="00D23527">
        <w:rPr>
          <w:rFonts w:ascii="Verdana" w:hAnsi="Verdana"/>
        </w:rPr>
        <w:t>nel passivo ad incremento dei risconti passivi</w:t>
      </w:r>
    </w:p>
    <w:p w14:paraId="36CE81B0" w14:textId="554BD670" w:rsidR="00EC4BD8" w:rsidRPr="00D23527" w:rsidRDefault="00EC4BD8" w:rsidP="00984F1F">
      <w:pPr>
        <w:pStyle w:val="Paragrafoelenco"/>
        <w:numPr>
          <w:ilvl w:val="0"/>
          <w:numId w:val="6"/>
        </w:numPr>
        <w:spacing w:after="0" w:line="240" w:lineRule="auto"/>
        <w:jc w:val="both"/>
        <w:rPr>
          <w:rFonts w:ascii="Verdana" w:hAnsi="Verdana"/>
        </w:rPr>
      </w:pPr>
      <w:r w:rsidRPr="00D23527">
        <w:rPr>
          <w:rFonts w:ascii="Verdana" w:hAnsi="Verdana"/>
        </w:rPr>
        <w:t xml:space="preserve">nel passivo </w:t>
      </w:r>
      <w:r w:rsidR="00FD02D8">
        <w:rPr>
          <w:rFonts w:ascii="Verdana" w:hAnsi="Verdana"/>
        </w:rPr>
        <w:t xml:space="preserve">in una riserva </w:t>
      </w:r>
      <w:r w:rsidRPr="00D23527">
        <w:rPr>
          <w:rFonts w:ascii="Verdana" w:hAnsi="Verdana"/>
        </w:rPr>
        <w:t>a riduzione del patrimonio netto</w:t>
      </w:r>
    </w:p>
    <w:p w14:paraId="06392171" w14:textId="77777777" w:rsidR="00386F22" w:rsidRPr="00D23527" w:rsidRDefault="00386F22" w:rsidP="00984F1F">
      <w:pPr>
        <w:jc w:val="both"/>
        <w:rPr>
          <w:rFonts w:ascii="Verdana" w:hAnsi="Verdana" w:cs="Arial"/>
          <w:color w:val="000000" w:themeColor="text1"/>
          <w:sz w:val="22"/>
          <w:szCs w:val="22"/>
        </w:rPr>
      </w:pPr>
    </w:p>
    <w:p w14:paraId="4475A7E8" w14:textId="6F6F5104" w:rsidR="00DF74DD" w:rsidRPr="00D23527" w:rsidRDefault="002B31C3" w:rsidP="00984F1F">
      <w:pPr>
        <w:pStyle w:val="Corpotesto"/>
        <w:spacing w:before="0"/>
        <w:ind w:right="-1"/>
        <w:jc w:val="both"/>
        <w:rPr>
          <w:rFonts w:ascii="Verdana" w:hAnsi="Verdana"/>
          <w:bCs/>
          <w:sz w:val="22"/>
          <w:szCs w:val="22"/>
        </w:rPr>
      </w:pPr>
      <w:r w:rsidRPr="00D23527">
        <w:rPr>
          <w:rFonts w:ascii="Verdana" w:hAnsi="Verdana"/>
          <w:bCs/>
          <w:sz w:val="22"/>
          <w:szCs w:val="22"/>
        </w:rPr>
        <w:t>4</w:t>
      </w:r>
      <w:r w:rsidR="00DF74DD" w:rsidRPr="00D23527">
        <w:rPr>
          <w:rFonts w:ascii="Verdana" w:hAnsi="Verdana"/>
          <w:bCs/>
          <w:sz w:val="22"/>
          <w:szCs w:val="22"/>
        </w:rPr>
        <w:t xml:space="preserve">. Secondo il </w:t>
      </w:r>
      <w:proofErr w:type="spellStart"/>
      <w:r w:rsidR="00DF74DD" w:rsidRPr="00D23527">
        <w:rPr>
          <w:rFonts w:ascii="Verdana" w:hAnsi="Verdana"/>
          <w:bCs/>
          <w:sz w:val="22"/>
          <w:szCs w:val="22"/>
        </w:rPr>
        <w:t>DLgs</w:t>
      </w:r>
      <w:proofErr w:type="spellEnd"/>
      <w:r w:rsidR="00DF74DD" w:rsidRPr="00D23527">
        <w:rPr>
          <w:rFonts w:ascii="Verdana" w:hAnsi="Verdana"/>
          <w:bCs/>
          <w:sz w:val="22"/>
          <w:szCs w:val="22"/>
        </w:rPr>
        <w:t xml:space="preserve"> 139/2015, proventi e oneri straordinari:</w:t>
      </w:r>
    </w:p>
    <w:p w14:paraId="70B73F14" w14:textId="7D8191B4" w:rsidR="00DF74DD" w:rsidRPr="00D23527" w:rsidRDefault="00DF74DD" w:rsidP="00984F1F">
      <w:pPr>
        <w:pStyle w:val="Corpotesto"/>
        <w:numPr>
          <w:ilvl w:val="0"/>
          <w:numId w:val="7"/>
        </w:numPr>
        <w:spacing w:before="0"/>
        <w:ind w:left="714" w:right="-1" w:hanging="357"/>
        <w:jc w:val="both"/>
        <w:rPr>
          <w:rFonts w:ascii="Verdana" w:hAnsi="Verdana"/>
          <w:bCs/>
          <w:sz w:val="22"/>
          <w:szCs w:val="22"/>
        </w:rPr>
      </w:pPr>
      <w:r w:rsidRPr="00D23527">
        <w:rPr>
          <w:rFonts w:ascii="Verdana" w:hAnsi="Verdana"/>
          <w:bCs/>
          <w:sz w:val="22"/>
          <w:szCs w:val="22"/>
        </w:rPr>
        <w:t xml:space="preserve">possono essere iscritti a </w:t>
      </w:r>
      <w:r w:rsidR="00984F1F" w:rsidRPr="00D23527">
        <w:rPr>
          <w:rFonts w:ascii="Verdana" w:hAnsi="Verdana"/>
          <w:bCs/>
          <w:sz w:val="22"/>
          <w:szCs w:val="22"/>
        </w:rPr>
        <w:t>stato patrimoniale</w:t>
      </w:r>
      <w:r w:rsidRPr="00D23527">
        <w:rPr>
          <w:rFonts w:ascii="Verdana" w:hAnsi="Verdana"/>
          <w:bCs/>
          <w:sz w:val="22"/>
          <w:szCs w:val="22"/>
        </w:rPr>
        <w:t xml:space="preserve"> solo se riferiti ad eventi inusuali, eccezionali e non ricorrenti</w:t>
      </w:r>
    </w:p>
    <w:p w14:paraId="40FBCD43" w14:textId="77777777" w:rsidR="00DF74DD" w:rsidRPr="00D23527" w:rsidRDefault="00DF74DD" w:rsidP="00984F1F">
      <w:pPr>
        <w:pStyle w:val="Corpotesto"/>
        <w:numPr>
          <w:ilvl w:val="0"/>
          <w:numId w:val="7"/>
        </w:numPr>
        <w:spacing w:before="0"/>
        <w:ind w:left="714" w:right="-1" w:hanging="357"/>
        <w:jc w:val="both"/>
        <w:rPr>
          <w:rFonts w:ascii="Verdana" w:hAnsi="Verdana"/>
          <w:bCs/>
          <w:sz w:val="22"/>
          <w:szCs w:val="22"/>
        </w:rPr>
      </w:pPr>
      <w:r w:rsidRPr="00D23527">
        <w:rPr>
          <w:rFonts w:ascii="Verdana" w:hAnsi="Verdana"/>
          <w:bCs/>
          <w:sz w:val="22"/>
          <w:szCs w:val="22"/>
        </w:rPr>
        <w:t xml:space="preserve">devono essere iscritti nella </w:t>
      </w:r>
      <w:proofErr w:type="spellStart"/>
      <w:r w:rsidRPr="00D23527">
        <w:rPr>
          <w:rFonts w:ascii="Verdana" w:hAnsi="Verdana"/>
          <w:bCs/>
          <w:sz w:val="22"/>
          <w:szCs w:val="22"/>
        </w:rPr>
        <w:t>macroclasse</w:t>
      </w:r>
      <w:proofErr w:type="spellEnd"/>
      <w:r w:rsidRPr="00D23527">
        <w:rPr>
          <w:rFonts w:ascii="Verdana" w:hAnsi="Verdana"/>
          <w:bCs/>
          <w:sz w:val="22"/>
          <w:szCs w:val="22"/>
        </w:rPr>
        <w:t xml:space="preserve"> E del conto economico</w:t>
      </w:r>
    </w:p>
    <w:p w14:paraId="16FE6BDE" w14:textId="21622FB1" w:rsidR="00DF74DD" w:rsidRPr="00D23527" w:rsidRDefault="00DF74DD" w:rsidP="00984F1F">
      <w:pPr>
        <w:pStyle w:val="Corpotesto"/>
        <w:numPr>
          <w:ilvl w:val="0"/>
          <w:numId w:val="7"/>
        </w:numPr>
        <w:spacing w:before="0"/>
        <w:ind w:left="714" w:right="-1" w:hanging="357"/>
        <w:jc w:val="both"/>
        <w:rPr>
          <w:rFonts w:ascii="Verdana" w:hAnsi="Verdana"/>
          <w:bCs/>
          <w:sz w:val="22"/>
          <w:szCs w:val="22"/>
        </w:rPr>
      </w:pPr>
      <w:r w:rsidRPr="00D23527">
        <w:rPr>
          <w:rFonts w:ascii="Verdana" w:hAnsi="Verdana"/>
          <w:bCs/>
          <w:sz w:val="22"/>
          <w:szCs w:val="22"/>
        </w:rPr>
        <w:t xml:space="preserve">non sono più previsti in un’area autonoma del conto economico pertanto </w:t>
      </w:r>
      <w:r w:rsidR="00895A16">
        <w:rPr>
          <w:rFonts w:ascii="Verdana" w:hAnsi="Verdana"/>
          <w:bCs/>
          <w:sz w:val="22"/>
          <w:szCs w:val="22"/>
        </w:rPr>
        <w:t xml:space="preserve">devono essere iscritte all’interno delle altre </w:t>
      </w:r>
      <w:proofErr w:type="spellStart"/>
      <w:r w:rsidR="00895A16">
        <w:rPr>
          <w:rFonts w:ascii="Verdana" w:hAnsi="Verdana"/>
          <w:bCs/>
          <w:sz w:val="22"/>
          <w:szCs w:val="22"/>
        </w:rPr>
        <w:t>macroclassi</w:t>
      </w:r>
      <w:proofErr w:type="spellEnd"/>
    </w:p>
    <w:p w14:paraId="397CE609" w14:textId="77777777" w:rsidR="00DF74DD" w:rsidRPr="00D23527" w:rsidRDefault="00DF74DD" w:rsidP="00984F1F">
      <w:pPr>
        <w:pStyle w:val="Corpotesto"/>
        <w:numPr>
          <w:ilvl w:val="0"/>
          <w:numId w:val="7"/>
        </w:numPr>
        <w:spacing w:before="0"/>
        <w:ind w:left="714" w:right="-1" w:hanging="357"/>
        <w:jc w:val="both"/>
        <w:rPr>
          <w:rFonts w:ascii="Verdana" w:hAnsi="Verdana"/>
          <w:bCs/>
          <w:sz w:val="22"/>
          <w:szCs w:val="22"/>
        </w:rPr>
      </w:pPr>
      <w:r w:rsidRPr="00D23527">
        <w:rPr>
          <w:rFonts w:ascii="Verdana" w:hAnsi="Verdana"/>
          <w:bCs/>
          <w:sz w:val="22"/>
          <w:szCs w:val="22"/>
        </w:rPr>
        <w:t>nessuna delle precedenti affermazioni è vera</w:t>
      </w:r>
    </w:p>
    <w:p w14:paraId="2149DC31" w14:textId="77777777" w:rsidR="00B23A0B" w:rsidRPr="00D23527" w:rsidRDefault="00B23A0B" w:rsidP="00984F1F">
      <w:pPr>
        <w:pStyle w:val="Corpotesto"/>
        <w:widowControl w:val="0"/>
        <w:suppressAutoHyphens/>
        <w:autoSpaceDN w:val="0"/>
        <w:spacing w:before="0"/>
        <w:jc w:val="both"/>
        <w:textAlignment w:val="baseline"/>
        <w:rPr>
          <w:rFonts w:ascii="Verdana" w:hAnsi="Verdana" w:cs="Arial"/>
          <w:sz w:val="22"/>
          <w:szCs w:val="22"/>
        </w:rPr>
      </w:pPr>
    </w:p>
    <w:p w14:paraId="63E9E560" w14:textId="0CEC9037" w:rsidR="00DF74DD" w:rsidRPr="00D23527" w:rsidRDefault="002B31C3" w:rsidP="00984F1F">
      <w:pPr>
        <w:spacing w:line="240" w:lineRule="exact"/>
        <w:ind w:right="-1"/>
        <w:jc w:val="both"/>
        <w:rPr>
          <w:rFonts w:ascii="Verdana" w:hAnsi="Verdana" w:cs="Arial"/>
          <w:sz w:val="22"/>
          <w:szCs w:val="22"/>
        </w:rPr>
      </w:pPr>
      <w:r w:rsidRPr="00D23527">
        <w:rPr>
          <w:rFonts w:ascii="Verdana" w:hAnsi="Verdana" w:cs="Arial"/>
          <w:sz w:val="22"/>
          <w:szCs w:val="22"/>
        </w:rPr>
        <w:t>5</w:t>
      </w:r>
      <w:r w:rsidR="00DF74DD" w:rsidRPr="00D23527">
        <w:rPr>
          <w:rFonts w:ascii="Verdana" w:hAnsi="Verdana" w:cs="Arial"/>
          <w:sz w:val="22"/>
          <w:szCs w:val="22"/>
        </w:rPr>
        <w:t>. Se, nella transizione dalla valutazione al costo alla valutazione al patrimonio netto, emerge un maggior valore del primo rispetto al secondo, la causa può essere attribuibile a:</w:t>
      </w:r>
    </w:p>
    <w:p w14:paraId="1F118D69" w14:textId="77777777" w:rsidR="00DF74DD" w:rsidRPr="00D23527" w:rsidRDefault="00DF74DD" w:rsidP="00984F1F">
      <w:pPr>
        <w:numPr>
          <w:ilvl w:val="0"/>
          <w:numId w:val="8"/>
        </w:numPr>
        <w:spacing w:line="240" w:lineRule="exact"/>
        <w:ind w:right="-1"/>
        <w:jc w:val="both"/>
        <w:rPr>
          <w:rFonts w:ascii="Verdana" w:hAnsi="Verdana" w:cs="Arial"/>
          <w:sz w:val="22"/>
          <w:szCs w:val="22"/>
        </w:rPr>
      </w:pPr>
      <w:r w:rsidRPr="00D23527">
        <w:rPr>
          <w:rFonts w:ascii="Verdana" w:hAnsi="Verdana" w:cs="Arial"/>
          <w:sz w:val="22"/>
          <w:szCs w:val="22"/>
        </w:rPr>
        <w:t>buon affare</w:t>
      </w:r>
    </w:p>
    <w:p w14:paraId="7F6AC072" w14:textId="77777777" w:rsidR="00DF74DD" w:rsidRPr="00D23527" w:rsidRDefault="00DF74DD" w:rsidP="00984F1F">
      <w:pPr>
        <w:numPr>
          <w:ilvl w:val="0"/>
          <w:numId w:val="8"/>
        </w:numPr>
        <w:spacing w:line="240" w:lineRule="exact"/>
        <w:ind w:right="-1"/>
        <w:jc w:val="both"/>
        <w:rPr>
          <w:rFonts w:ascii="Verdana" w:hAnsi="Verdana" w:cs="Arial"/>
          <w:sz w:val="22"/>
          <w:szCs w:val="22"/>
        </w:rPr>
      </w:pPr>
      <w:r w:rsidRPr="00D23527">
        <w:rPr>
          <w:rFonts w:ascii="Verdana" w:hAnsi="Verdana" w:cs="Arial"/>
          <w:sz w:val="22"/>
          <w:szCs w:val="22"/>
        </w:rPr>
        <w:t>minusvalenze latenti su beni</w:t>
      </w:r>
    </w:p>
    <w:p w14:paraId="3D65C44F" w14:textId="77777777" w:rsidR="00DF74DD" w:rsidRPr="00D23527" w:rsidRDefault="00DF74DD" w:rsidP="00984F1F">
      <w:pPr>
        <w:numPr>
          <w:ilvl w:val="0"/>
          <w:numId w:val="8"/>
        </w:numPr>
        <w:spacing w:line="240" w:lineRule="exact"/>
        <w:ind w:right="-1"/>
        <w:jc w:val="both"/>
        <w:rPr>
          <w:rFonts w:ascii="Verdana" w:hAnsi="Verdana" w:cs="Arial"/>
          <w:sz w:val="22"/>
          <w:szCs w:val="22"/>
        </w:rPr>
      </w:pPr>
      <w:r w:rsidRPr="00D23527">
        <w:rPr>
          <w:rFonts w:ascii="Verdana" w:hAnsi="Verdana" w:cs="Arial"/>
          <w:sz w:val="22"/>
          <w:szCs w:val="22"/>
        </w:rPr>
        <w:t>avviamento</w:t>
      </w:r>
    </w:p>
    <w:p w14:paraId="0428DDF3" w14:textId="77777777" w:rsidR="00DF74DD" w:rsidRPr="00D23527" w:rsidRDefault="00DF74DD" w:rsidP="00984F1F">
      <w:pPr>
        <w:numPr>
          <w:ilvl w:val="0"/>
          <w:numId w:val="8"/>
        </w:numPr>
        <w:spacing w:line="240" w:lineRule="exact"/>
        <w:ind w:right="-1"/>
        <w:jc w:val="both"/>
        <w:rPr>
          <w:rFonts w:ascii="Verdana" w:hAnsi="Verdana" w:cs="Arial"/>
          <w:sz w:val="22"/>
          <w:szCs w:val="22"/>
        </w:rPr>
      </w:pPr>
      <w:r w:rsidRPr="00D23527">
        <w:rPr>
          <w:rFonts w:ascii="Verdana" w:hAnsi="Verdana" w:cs="Arial"/>
          <w:sz w:val="22"/>
          <w:szCs w:val="22"/>
        </w:rPr>
        <w:t>tutte le precedenti</w:t>
      </w:r>
    </w:p>
    <w:p w14:paraId="37684E28" w14:textId="77777777" w:rsidR="00BC56BC" w:rsidRPr="00D23527" w:rsidRDefault="00BC56BC" w:rsidP="00984F1F">
      <w:pPr>
        <w:jc w:val="both"/>
        <w:rPr>
          <w:rFonts w:ascii="Verdana" w:hAnsi="Verdana" w:cs="Arial"/>
          <w:color w:val="000000" w:themeColor="text1"/>
          <w:sz w:val="22"/>
          <w:szCs w:val="22"/>
        </w:rPr>
      </w:pPr>
    </w:p>
    <w:p w14:paraId="5C9C1AC4" w14:textId="0BD96F25" w:rsidR="00DF74DD" w:rsidRPr="00D23527" w:rsidRDefault="002B31C3" w:rsidP="00984F1F">
      <w:pPr>
        <w:spacing w:line="240" w:lineRule="exact"/>
        <w:ind w:right="-1"/>
        <w:jc w:val="both"/>
        <w:rPr>
          <w:rFonts w:ascii="Verdana" w:hAnsi="Verdana" w:cs="Arial"/>
          <w:sz w:val="22"/>
          <w:szCs w:val="22"/>
        </w:rPr>
      </w:pPr>
      <w:r w:rsidRPr="00D23527">
        <w:rPr>
          <w:rFonts w:ascii="Verdana" w:hAnsi="Verdana" w:cs="Arial"/>
          <w:sz w:val="22"/>
          <w:szCs w:val="22"/>
        </w:rPr>
        <w:t>6</w:t>
      </w:r>
      <w:r w:rsidR="00DF74DD" w:rsidRPr="00D23527">
        <w:rPr>
          <w:rFonts w:ascii="Verdana" w:hAnsi="Verdana" w:cs="Arial"/>
          <w:sz w:val="22"/>
          <w:szCs w:val="22"/>
        </w:rPr>
        <w:t xml:space="preserve">. Secondo l'art. 102, comma 6, del TUIR, i costi di manutenzione </w:t>
      </w:r>
      <w:r w:rsidR="00984F1F" w:rsidRPr="00D23527">
        <w:rPr>
          <w:rFonts w:ascii="Verdana" w:hAnsi="Verdana" w:cs="Arial"/>
          <w:sz w:val="22"/>
          <w:szCs w:val="22"/>
        </w:rPr>
        <w:t>considerati ordinari secondo il disposto del codice civile</w:t>
      </w:r>
    </w:p>
    <w:p w14:paraId="6BBBA68B" w14:textId="77777777" w:rsidR="00DF74DD" w:rsidRPr="00D23527" w:rsidRDefault="00DF74DD" w:rsidP="00984F1F">
      <w:pPr>
        <w:numPr>
          <w:ilvl w:val="0"/>
          <w:numId w:val="8"/>
        </w:numPr>
        <w:spacing w:line="240" w:lineRule="exact"/>
        <w:ind w:right="-1"/>
        <w:jc w:val="both"/>
        <w:rPr>
          <w:rFonts w:ascii="Verdana" w:hAnsi="Verdana" w:cs="Arial"/>
          <w:sz w:val="22"/>
          <w:szCs w:val="22"/>
        </w:rPr>
      </w:pPr>
      <w:r w:rsidRPr="00D23527">
        <w:rPr>
          <w:rFonts w:ascii="Verdana" w:hAnsi="Verdana" w:cs="Arial"/>
          <w:sz w:val="22"/>
          <w:szCs w:val="22"/>
        </w:rPr>
        <w:t>sono deducibili nell'esercizio di sostenimento del costo</w:t>
      </w:r>
    </w:p>
    <w:p w14:paraId="18F11E6E" w14:textId="77777777" w:rsidR="00DF74DD" w:rsidRPr="00D23527" w:rsidRDefault="00DF74DD" w:rsidP="00DF74DD">
      <w:pPr>
        <w:numPr>
          <w:ilvl w:val="0"/>
          <w:numId w:val="8"/>
        </w:numPr>
        <w:spacing w:line="240" w:lineRule="exact"/>
        <w:ind w:right="-1"/>
        <w:jc w:val="both"/>
        <w:rPr>
          <w:rFonts w:ascii="Verdana" w:hAnsi="Verdana" w:cs="Arial"/>
          <w:sz w:val="22"/>
          <w:szCs w:val="22"/>
        </w:rPr>
      </w:pPr>
      <w:r w:rsidRPr="00D23527">
        <w:rPr>
          <w:rFonts w:ascii="Verdana" w:hAnsi="Verdana" w:cs="Arial"/>
          <w:sz w:val="22"/>
          <w:szCs w:val="22"/>
        </w:rPr>
        <w:t>sono capitalizzati ad incremento del costo del bene a cui si riferiscono e sono ammortizzati fiscalmente con esso</w:t>
      </w:r>
    </w:p>
    <w:p w14:paraId="75292638" w14:textId="36109C39" w:rsidR="00DF74DD" w:rsidRPr="00D23527" w:rsidRDefault="00DF74DD" w:rsidP="00DF74DD">
      <w:pPr>
        <w:numPr>
          <w:ilvl w:val="0"/>
          <w:numId w:val="8"/>
        </w:numPr>
        <w:spacing w:line="240" w:lineRule="exact"/>
        <w:ind w:right="-1"/>
        <w:jc w:val="both"/>
        <w:rPr>
          <w:rFonts w:ascii="Verdana" w:hAnsi="Verdana" w:cs="Arial"/>
          <w:sz w:val="22"/>
          <w:szCs w:val="22"/>
        </w:rPr>
      </w:pPr>
      <w:r w:rsidRPr="00D23527">
        <w:rPr>
          <w:rFonts w:ascii="Verdana" w:hAnsi="Verdana" w:cs="Arial"/>
          <w:sz w:val="22"/>
          <w:szCs w:val="22"/>
        </w:rPr>
        <w:t xml:space="preserve">sono deducibili nella misura del 5% del costo dei beni strumentali ammortizzabili </w:t>
      </w:r>
      <w:r w:rsidR="00895A16">
        <w:rPr>
          <w:rFonts w:ascii="Verdana" w:hAnsi="Verdana" w:cs="Arial"/>
          <w:sz w:val="22"/>
          <w:szCs w:val="22"/>
        </w:rPr>
        <w:t>esistenti</w:t>
      </w:r>
      <w:r w:rsidRPr="00D23527">
        <w:rPr>
          <w:rFonts w:ascii="Verdana" w:hAnsi="Verdana" w:cs="Arial"/>
          <w:sz w:val="22"/>
          <w:szCs w:val="22"/>
        </w:rPr>
        <w:t xml:space="preserve"> all’inizio dell’esercizio</w:t>
      </w:r>
    </w:p>
    <w:p w14:paraId="4C1EE167" w14:textId="7D988B28" w:rsidR="006C3B3A" w:rsidRPr="00D23527" w:rsidRDefault="00DF74DD" w:rsidP="00984F1F">
      <w:pPr>
        <w:numPr>
          <w:ilvl w:val="0"/>
          <w:numId w:val="8"/>
        </w:numPr>
        <w:spacing w:line="240" w:lineRule="exact"/>
        <w:ind w:right="-1"/>
        <w:jc w:val="both"/>
        <w:rPr>
          <w:rFonts w:ascii="Verdana" w:hAnsi="Verdana" w:cs="Arial"/>
          <w:sz w:val="22"/>
          <w:szCs w:val="22"/>
        </w:rPr>
      </w:pPr>
      <w:r w:rsidRPr="00D23527">
        <w:rPr>
          <w:rFonts w:ascii="Verdana" w:hAnsi="Verdana" w:cs="Arial"/>
          <w:sz w:val="22"/>
          <w:szCs w:val="22"/>
        </w:rPr>
        <w:t>sono accantonati in apposito fondo, nella misura del 5% del costo dei beni strumentali a cui si riferiscono</w:t>
      </w:r>
      <w:r w:rsidR="006C3B3A" w:rsidRPr="00D23527">
        <w:rPr>
          <w:rFonts w:ascii="Verdana" w:hAnsi="Verdana" w:cs="Arial"/>
          <w:color w:val="000000" w:themeColor="text1"/>
          <w:sz w:val="22"/>
          <w:szCs w:val="22"/>
        </w:rPr>
        <w:br w:type="page"/>
      </w:r>
    </w:p>
    <w:p w14:paraId="178A47F2" w14:textId="77777777" w:rsidR="003113E6" w:rsidRPr="00F16560" w:rsidRDefault="003113E6" w:rsidP="003113E6">
      <w:pPr>
        <w:jc w:val="both"/>
        <w:rPr>
          <w:rFonts w:ascii="Verdana" w:hAnsi="Verdana" w:cs="Arial"/>
          <w:color w:val="000000" w:themeColor="text1"/>
          <w:sz w:val="22"/>
          <w:szCs w:val="22"/>
        </w:rPr>
      </w:pPr>
    </w:p>
    <w:p w14:paraId="6FFEF521" w14:textId="40444265" w:rsidR="007206A4" w:rsidRDefault="002104A1" w:rsidP="007206A4">
      <w:pPr>
        <w:ind w:right="-1"/>
        <w:rPr>
          <w:rFonts w:ascii="Verdana" w:hAnsi="Verdana"/>
          <w:b/>
          <w:bCs/>
          <w:sz w:val="22"/>
          <w:szCs w:val="22"/>
        </w:rPr>
      </w:pPr>
      <w:r>
        <w:rPr>
          <w:rFonts w:ascii="Verdana" w:hAnsi="Verdana"/>
          <w:b/>
          <w:bCs/>
          <w:sz w:val="22"/>
          <w:szCs w:val="22"/>
        </w:rPr>
        <w:t>ESERCIZIO 2</w:t>
      </w:r>
    </w:p>
    <w:p w14:paraId="5AB3C0A4" w14:textId="77777777" w:rsidR="002B1C25" w:rsidRDefault="003113E6" w:rsidP="002B1C25">
      <w:pPr>
        <w:spacing w:line="360" w:lineRule="auto"/>
        <w:jc w:val="both"/>
        <w:rPr>
          <w:rFonts w:ascii="Verdana" w:hAnsi="Verdana"/>
          <w:sz w:val="22"/>
        </w:rPr>
      </w:pPr>
      <w:r w:rsidRPr="006316B2">
        <w:rPr>
          <w:rFonts w:ascii="Verdana" w:hAnsi="Verdana"/>
          <w:sz w:val="22"/>
        </w:rPr>
        <w:t>Si richiede di rappresentare gli effetti delle seguenti oper</w:t>
      </w:r>
      <w:r>
        <w:rPr>
          <w:rFonts w:ascii="Verdana" w:hAnsi="Verdana"/>
          <w:sz w:val="22"/>
        </w:rPr>
        <w:t>azioni nei bilanci interessati:</w:t>
      </w:r>
    </w:p>
    <w:p w14:paraId="3A6632B9" w14:textId="02246BCE" w:rsidR="00EC4BD8" w:rsidRPr="002B1C25" w:rsidRDefault="00EC4BD8" w:rsidP="002B1C25">
      <w:pPr>
        <w:spacing w:line="360" w:lineRule="auto"/>
        <w:jc w:val="both"/>
        <w:rPr>
          <w:rFonts w:ascii="Verdana" w:hAnsi="Verdana"/>
          <w:sz w:val="22"/>
        </w:rPr>
      </w:pPr>
      <w:r w:rsidRPr="006D0168">
        <w:rPr>
          <w:rFonts w:ascii="Verdana" w:hAnsi="Verdana" w:cs="Arial"/>
          <w:sz w:val="22"/>
          <w:szCs w:val="22"/>
        </w:rPr>
        <w:t xml:space="preserve">La Alfa S.p.A </w:t>
      </w:r>
      <w:r>
        <w:rPr>
          <w:rFonts w:ascii="Verdana" w:hAnsi="Verdana" w:cs="Arial"/>
          <w:sz w:val="22"/>
          <w:szCs w:val="22"/>
        </w:rPr>
        <w:t>acquista una partecipazione del 70% nella società Beta S.p.A. in data 31/12/X1 pagandola 200.000 euro. Il bilancio della società Beta presenta un patrimonio netto di 200.000 euro. Gli amministratori, decidendo di valutare la partecipazione con il metodo del patrimonio netto, convengono che le eventuali eccedenze del costo rispetto al netto trovano giustificazione, per il 2/3 in specifiche immobilizzazioni della controllata ammortizzate su ci</w:t>
      </w:r>
      <w:r w:rsidR="002104A1">
        <w:rPr>
          <w:rFonts w:ascii="Verdana" w:hAnsi="Verdana" w:cs="Arial"/>
          <w:sz w:val="22"/>
          <w:szCs w:val="22"/>
        </w:rPr>
        <w:t>nque anni, per l’altro 1/3 nelle</w:t>
      </w:r>
      <w:bookmarkStart w:id="0" w:name="_GoBack"/>
      <w:bookmarkEnd w:id="0"/>
      <w:r>
        <w:rPr>
          <w:rFonts w:ascii="Verdana" w:hAnsi="Verdana" w:cs="Arial"/>
          <w:sz w:val="22"/>
          <w:szCs w:val="22"/>
        </w:rPr>
        <w:t xml:space="preserve"> sue prospettive future di reddito. La rettifica inizia l’anno successivo all’acquisto Si riporti la registrazione dell’acquisto e si proceda alla rappresentazione nello stato patrimoniale dell’operazione al 31/12/X1 e 31/12/X2, senza considerare gli effetti derivanti dai redditi della partecipata.</w:t>
      </w:r>
    </w:p>
    <w:sectPr w:rsidR="00EC4BD8" w:rsidRPr="002B1C25" w:rsidSect="000D1B75">
      <w:headerReference w:type="even" r:id="rId8"/>
      <w:headerReference w:type="default" r:id="rId9"/>
      <w:footerReference w:type="even" r:id="rId10"/>
      <w:footerReference w:type="default" r:id="rId11"/>
      <w:headerReference w:type="first" r:id="rId12"/>
      <w:footerReference w:type="first" r:id="rId13"/>
      <w:pgSz w:w="11900" w:h="16840"/>
      <w:pgMar w:top="1417" w:right="843" w:bottom="1134"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7C720" w14:textId="77777777" w:rsidR="005E70C3" w:rsidRDefault="005E70C3">
      <w:r>
        <w:separator/>
      </w:r>
    </w:p>
  </w:endnote>
  <w:endnote w:type="continuationSeparator" w:id="0">
    <w:p w14:paraId="2C441518" w14:textId="77777777" w:rsidR="005E70C3" w:rsidRDefault="005E7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4221C" w14:textId="77777777" w:rsidR="00737DDB" w:rsidRDefault="00737DD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044532"/>
      <w:docPartObj>
        <w:docPartGallery w:val="Page Numbers (Bottom of Page)"/>
        <w:docPartUnique/>
      </w:docPartObj>
    </w:sdtPr>
    <w:sdtEndPr>
      <w:rPr>
        <w:rFonts w:ascii="Verdana" w:hAnsi="Verdana"/>
        <w:sz w:val="18"/>
      </w:rPr>
    </w:sdtEndPr>
    <w:sdtContent>
      <w:p w14:paraId="15C6DBF9" w14:textId="5453E6B9" w:rsidR="006E3CF1" w:rsidRDefault="006E3CF1">
        <w:pPr>
          <w:pStyle w:val="Pidipagina"/>
          <w:jc w:val="center"/>
          <w:rPr>
            <w:rFonts w:ascii="Verdana" w:hAnsi="Verdana"/>
            <w:sz w:val="18"/>
          </w:rPr>
        </w:pPr>
        <w:r>
          <w:rPr>
            <w:rFonts w:ascii="Verdana" w:hAnsi="Verdana"/>
            <w:sz w:val="18"/>
          </w:rPr>
          <w:fldChar w:fldCharType="begin"/>
        </w:r>
        <w:r>
          <w:rPr>
            <w:rFonts w:ascii="Verdana" w:hAnsi="Verdana"/>
            <w:sz w:val="18"/>
          </w:rPr>
          <w:instrText>PAGE   \* MERGEFORMAT</w:instrText>
        </w:r>
        <w:r>
          <w:rPr>
            <w:rFonts w:ascii="Verdana" w:hAnsi="Verdana"/>
            <w:sz w:val="18"/>
          </w:rPr>
          <w:fldChar w:fldCharType="separate"/>
        </w:r>
        <w:r w:rsidR="002104A1">
          <w:rPr>
            <w:rFonts w:ascii="Verdana" w:hAnsi="Verdana"/>
            <w:noProof/>
            <w:sz w:val="18"/>
          </w:rPr>
          <w:t>2</w:t>
        </w:r>
        <w:r>
          <w:rPr>
            <w:rFonts w:ascii="Verdana" w:hAnsi="Verdana"/>
            <w:sz w:val="18"/>
          </w:rPr>
          <w:fldChar w:fldCharType="end"/>
        </w:r>
      </w:p>
    </w:sdtContent>
  </w:sdt>
  <w:p w14:paraId="08F18B98" w14:textId="77777777" w:rsidR="006E3CF1" w:rsidRDefault="006E3CF1">
    <w:pPr>
      <w:pStyle w:val="Pidipagina"/>
      <w:rPr>
        <w:rFonts w:ascii="Verdana" w:hAnsi="Verdana"/>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E0F49" w14:textId="77777777" w:rsidR="00737DDB" w:rsidRDefault="00737DD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938FF" w14:textId="77777777" w:rsidR="005E70C3" w:rsidRDefault="005E70C3">
      <w:r>
        <w:separator/>
      </w:r>
    </w:p>
  </w:footnote>
  <w:footnote w:type="continuationSeparator" w:id="0">
    <w:p w14:paraId="6331EB4D" w14:textId="77777777" w:rsidR="005E70C3" w:rsidRDefault="005E7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ED4DD" w14:textId="77777777" w:rsidR="00737DDB" w:rsidRDefault="00737DD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E8345" w14:textId="331B5EC3" w:rsidR="006E3CF1" w:rsidRPr="00862D0F" w:rsidRDefault="006E3CF1" w:rsidP="00862D0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615AA" w14:textId="77777777" w:rsidR="00737DDB" w:rsidRDefault="00737DD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04AC"/>
    <w:multiLevelType w:val="multilevel"/>
    <w:tmpl w:val="C9B6E3C0"/>
    <w:styleLink w:val="WWNum1"/>
    <w:lvl w:ilvl="0">
      <w:numFmt w:val="bullet"/>
      <w:lvlText w:val="o"/>
      <w:lvlJc w:val="left"/>
      <w:pPr>
        <w:ind w:left="720" w:hanging="360"/>
      </w:pPr>
      <w:rPr>
        <w:rFonts w:ascii="Courier New" w:hAnsi="Courier New" w:cs="Times New Roman"/>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1" w15:restartNumberingAfterBreak="0">
    <w:nsid w:val="14B93E2B"/>
    <w:multiLevelType w:val="multilevel"/>
    <w:tmpl w:val="762AB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C32436"/>
    <w:multiLevelType w:val="hybridMultilevel"/>
    <w:tmpl w:val="D730D40E"/>
    <w:lvl w:ilvl="0" w:tplc="BC1C21A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E393748"/>
    <w:multiLevelType w:val="hybridMultilevel"/>
    <w:tmpl w:val="EAE85BAC"/>
    <w:lvl w:ilvl="0" w:tplc="BC1C21A0">
      <w:start w:val="1"/>
      <w:numFmt w:val="bullet"/>
      <w:lvlText w:val=""/>
      <w:lvlJc w:val="left"/>
      <w:pPr>
        <w:ind w:left="720" w:hanging="360"/>
      </w:pPr>
      <w:rPr>
        <w:rFonts w:ascii="Wingdings" w:hAnsi="Wingding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11C5D76"/>
    <w:multiLevelType w:val="hybridMultilevel"/>
    <w:tmpl w:val="920C5B38"/>
    <w:lvl w:ilvl="0" w:tplc="BC1C21A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C92293E"/>
    <w:multiLevelType w:val="hybridMultilevel"/>
    <w:tmpl w:val="E0C23592"/>
    <w:lvl w:ilvl="0" w:tplc="BC1C21A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81D7351"/>
    <w:multiLevelType w:val="hybridMultilevel"/>
    <w:tmpl w:val="5C5A6C28"/>
    <w:lvl w:ilvl="0" w:tplc="BC1C21A0">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F0B29F5"/>
    <w:multiLevelType w:val="hybridMultilevel"/>
    <w:tmpl w:val="9D6CD4E8"/>
    <w:lvl w:ilvl="0" w:tplc="BC1C21A0">
      <w:start w:val="1"/>
      <w:numFmt w:val="bullet"/>
      <w:lvlText w:val=""/>
      <w:lvlJc w:val="left"/>
      <w:pPr>
        <w:ind w:left="720" w:hanging="360"/>
      </w:pPr>
      <w:rPr>
        <w:rFonts w:ascii="Wingdings" w:hAnsi="Wingding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72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FBA512D"/>
    <w:multiLevelType w:val="multilevel"/>
    <w:tmpl w:val="4A18DED0"/>
    <w:lvl w:ilvl="0">
      <w:start w:val="1"/>
      <w:numFmt w:val="lowerRoman"/>
      <w:lvlText w:val="%1."/>
      <w:lvlJc w:val="right"/>
      <w:pPr>
        <w:ind w:left="502" w:hanging="360"/>
      </w:pPr>
      <w:rPr>
        <w:rFonts w:hint="default"/>
      </w:r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9" w15:restartNumberingAfterBreak="0">
    <w:nsid w:val="51637D74"/>
    <w:multiLevelType w:val="multilevel"/>
    <w:tmpl w:val="218A2518"/>
    <w:lvl w:ilvl="0">
      <w:start w:val="15"/>
      <w:numFmt w:val="decimal"/>
      <w:lvlText w:val="%1."/>
      <w:lvlJc w:val="left"/>
      <w:pPr>
        <w:ind w:left="517" w:hanging="375"/>
      </w:pPr>
      <w:rPr>
        <w:rFonts w:hint="default"/>
      </w:r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10" w15:restartNumberingAfterBreak="0">
    <w:nsid w:val="58F32D93"/>
    <w:multiLevelType w:val="hybridMultilevel"/>
    <w:tmpl w:val="D5BC206E"/>
    <w:lvl w:ilvl="0" w:tplc="1FDA38FC">
      <w:start w:val="4"/>
      <w:numFmt w:val="decimal"/>
      <w:lvlText w:val="%1."/>
      <w:lvlJc w:val="left"/>
      <w:pPr>
        <w:ind w:left="502" w:hanging="360"/>
      </w:pPr>
      <w:rPr>
        <w:rFonts w:hint="default"/>
      </w:rPr>
    </w:lvl>
    <w:lvl w:ilvl="1" w:tplc="04100019" w:tentative="1">
      <w:start w:val="1"/>
      <w:numFmt w:val="lowerLetter"/>
      <w:lvlText w:val="%2."/>
      <w:lvlJc w:val="left"/>
      <w:pPr>
        <w:ind w:left="1015" w:hanging="360"/>
      </w:pPr>
    </w:lvl>
    <w:lvl w:ilvl="2" w:tplc="0410001B" w:tentative="1">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11" w15:restartNumberingAfterBreak="0">
    <w:nsid w:val="6C9847A3"/>
    <w:multiLevelType w:val="hybridMultilevel"/>
    <w:tmpl w:val="14AEA7C4"/>
    <w:lvl w:ilvl="0" w:tplc="BC1C21A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25F03DB"/>
    <w:multiLevelType w:val="hybridMultilevel"/>
    <w:tmpl w:val="153CE2CE"/>
    <w:lvl w:ilvl="0" w:tplc="BC1C21A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30E286B"/>
    <w:multiLevelType w:val="multilevel"/>
    <w:tmpl w:val="BCBE631E"/>
    <w:styleLink w:val="WWNum3"/>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Symbol"/>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Symbol"/>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Symbol"/>
      </w:rPr>
    </w:lvl>
    <w:lvl w:ilvl="8">
      <w:numFmt w:val="bullet"/>
      <w:lvlText w:val=""/>
      <w:lvlJc w:val="left"/>
      <w:pPr>
        <w:ind w:left="6120" w:hanging="360"/>
      </w:pPr>
      <w:rPr>
        <w:rFonts w:ascii="Wingdings" w:hAnsi="Wingdings"/>
      </w:rPr>
    </w:lvl>
  </w:abstractNum>
  <w:abstractNum w:abstractNumId="14" w15:restartNumberingAfterBreak="0">
    <w:nsid w:val="780A7CD7"/>
    <w:multiLevelType w:val="multilevel"/>
    <w:tmpl w:val="18443566"/>
    <w:styleLink w:val="WWNum2"/>
    <w:lvl w:ilvl="0">
      <w:numFmt w:val="bullet"/>
      <w:lvlText w:val="-"/>
      <w:lvlJc w:val="left"/>
      <w:pPr>
        <w:ind w:left="720" w:hanging="360"/>
      </w:pPr>
      <w:rPr>
        <w:rFonts w:ascii="Verdana" w:eastAsia="Times New Roman" w:hAnsi="Verdana" w:cs="Times New Roman"/>
      </w:rPr>
    </w:lvl>
    <w:lvl w:ilvl="1">
      <w:numFmt w:val="bullet"/>
      <w:lvlText w:val="o"/>
      <w:lvlJc w:val="left"/>
      <w:pPr>
        <w:ind w:left="1440" w:hanging="360"/>
      </w:pPr>
      <w:rPr>
        <w:rFonts w:ascii="Courier New" w:hAnsi="Courier New" w:cs="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Symbol"/>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Symbol"/>
      </w:rPr>
    </w:lvl>
    <w:lvl w:ilvl="8">
      <w:numFmt w:val="bullet"/>
      <w:lvlText w:val=""/>
      <w:lvlJc w:val="left"/>
      <w:pPr>
        <w:ind w:left="6480" w:hanging="360"/>
      </w:pPr>
      <w:rPr>
        <w:rFonts w:ascii="Wingdings" w:hAnsi="Wingdings"/>
      </w:rPr>
    </w:lvl>
  </w:abstractNum>
  <w:abstractNum w:abstractNumId="15" w15:restartNumberingAfterBreak="0">
    <w:nsid w:val="78AB1512"/>
    <w:multiLevelType w:val="hybridMultilevel"/>
    <w:tmpl w:val="164EF0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3"/>
  </w:num>
  <w:num w:numId="4">
    <w:abstractNumId w:val="7"/>
  </w:num>
  <w:num w:numId="5">
    <w:abstractNumId w:val="5"/>
  </w:num>
  <w:num w:numId="6">
    <w:abstractNumId w:val="12"/>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5"/>
  </w:num>
  <w:num w:numId="10">
    <w:abstractNumId w:val="2"/>
  </w:num>
  <w:num w:numId="11">
    <w:abstractNumId w:val="11"/>
  </w:num>
  <w:num w:numId="12">
    <w:abstractNumId w:val="10"/>
  </w:num>
  <w:num w:numId="13">
    <w:abstractNumId w:val="9"/>
  </w:num>
  <w:num w:numId="14">
    <w:abstractNumId w:val="8"/>
  </w:num>
  <w:num w:numId="15">
    <w:abstractNumId w:val="1"/>
  </w:num>
  <w:num w:numId="16">
    <w:abstractNumId w:val="6"/>
  </w:num>
  <w:num w:numId="1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CA1"/>
    <w:rsid w:val="00081A46"/>
    <w:rsid w:val="00087DA3"/>
    <w:rsid w:val="000D1B75"/>
    <w:rsid w:val="000E36D0"/>
    <w:rsid w:val="00133666"/>
    <w:rsid w:val="00157424"/>
    <w:rsid w:val="001830BA"/>
    <w:rsid w:val="001E7D09"/>
    <w:rsid w:val="002104A1"/>
    <w:rsid w:val="002145AA"/>
    <w:rsid w:val="002416FB"/>
    <w:rsid w:val="0028266E"/>
    <w:rsid w:val="00297C9B"/>
    <w:rsid w:val="002B1C25"/>
    <w:rsid w:val="002B31C3"/>
    <w:rsid w:val="003113E6"/>
    <w:rsid w:val="003149CC"/>
    <w:rsid w:val="003268E9"/>
    <w:rsid w:val="0035063A"/>
    <w:rsid w:val="00354C2F"/>
    <w:rsid w:val="00360684"/>
    <w:rsid w:val="00386F22"/>
    <w:rsid w:val="00397C5C"/>
    <w:rsid w:val="003E5D9C"/>
    <w:rsid w:val="003E5EE7"/>
    <w:rsid w:val="00433CFC"/>
    <w:rsid w:val="00483B04"/>
    <w:rsid w:val="00487662"/>
    <w:rsid w:val="00495736"/>
    <w:rsid w:val="00497E91"/>
    <w:rsid w:val="004A09E1"/>
    <w:rsid w:val="004B238D"/>
    <w:rsid w:val="004B2EF4"/>
    <w:rsid w:val="004E3B45"/>
    <w:rsid w:val="005123C1"/>
    <w:rsid w:val="00515070"/>
    <w:rsid w:val="00530CBC"/>
    <w:rsid w:val="005622F2"/>
    <w:rsid w:val="00595DC1"/>
    <w:rsid w:val="005B2A7C"/>
    <w:rsid w:val="005C06E5"/>
    <w:rsid w:val="005E2355"/>
    <w:rsid w:val="005E50A4"/>
    <w:rsid w:val="005E70C3"/>
    <w:rsid w:val="006244AC"/>
    <w:rsid w:val="006465F8"/>
    <w:rsid w:val="00686C1B"/>
    <w:rsid w:val="006C3B3A"/>
    <w:rsid w:val="006D5AE4"/>
    <w:rsid w:val="006E3CF1"/>
    <w:rsid w:val="007206A4"/>
    <w:rsid w:val="00724FAB"/>
    <w:rsid w:val="0073048B"/>
    <w:rsid w:val="00737316"/>
    <w:rsid w:val="00737DDB"/>
    <w:rsid w:val="0079109A"/>
    <w:rsid w:val="007A111B"/>
    <w:rsid w:val="007A6608"/>
    <w:rsid w:val="007D062C"/>
    <w:rsid w:val="007D3CA1"/>
    <w:rsid w:val="0080678B"/>
    <w:rsid w:val="0082235B"/>
    <w:rsid w:val="00862D0F"/>
    <w:rsid w:val="00867568"/>
    <w:rsid w:val="008703BE"/>
    <w:rsid w:val="0088233B"/>
    <w:rsid w:val="00895A16"/>
    <w:rsid w:val="00922A4D"/>
    <w:rsid w:val="009276DC"/>
    <w:rsid w:val="009377FA"/>
    <w:rsid w:val="00937BA4"/>
    <w:rsid w:val="009827EE"/>
    <w:rsid w:val="00983C9C"/>
    <w:rsid w:val="00984F1F"/>
    <w:rsid w:val="009D52AE"/>
    <w:rsid w:val="009F2DA3"/>
    <w:rsid w:val="00A33853"/>
    <w:rsid w:val="00A54099"/>
    <w:rsid w:val="00A56FF5"/>
    <w:rsid w:val="00AC1E86"/>
    <w:rsid w:val="00AF645D"/>
    <w:rsid w:val="00B11168"/>
    <w:rsid w:val="00B23A0B"/>
    <w:rsid w:val="00B308F2"/>
    <w:rsid w:val="00B475FD"/>
    <w:rsid w:val="00B62755"/>
    <w:rsid w:val="00B762B4"/>
    <w:rsid w:val="00B9540F"/>
    <w:rsid w:val="00B96810"/>
    <w:rsid w:val="00B9688D"/>
    <w:rsid w:val="00BB1183"/>
    <w:rsid w:val="00BC56BC"/>
    <w:rsid w:val="00C40C29"/>
    <w:rsid w:val="00C57F3C"/>
    <w:rsid w:val="00C8339B"/>
    <w:rsid w:val="00D23527"/>
    <w:rsid w:val="00D26792"/>
    <w:rsid w:val="00DA1FD8"/>
    <w:rsid w:val="00DD14A4"/>
    <w:rsid w:val="00DF28C1"/>
    <w:rsid w:val="00DF74DD"/>
    <w:rsid w:val="00E22BFA"/>
    <w:rsid w:val="00E27E16"/>
    <w:rsid w:val="00E36F73"/>
    <w:rsid w:val="00E9096D"/>
    <w:rsid w:val="00EB7244"/>
    <w:rsid w:val="00EC4BD8"/>
    <w:rsid w:val="00F07A46"/>
    <w:rsid w:val="00F2722C"/>
    <w:rsid w:val="00F428DB"/>
    <w:rsid w:val="00F62ECA"/>
    <w:rsid w:val="00F656A1"/>
    <w:rsid w:val="00FB1DEC"/>
    <w:rsid w:val="00FD02D8"/>
    <w:rsid w:val="00FD34C5"/>
    <w:rsid w:val="00FF2DF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0B111B"/>
  <w15:docId w15:val="{FD2F68D7-3606-4B6C-814D-3A6CBBF7E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D1B75"/>
    <w:rPr>
      <w:rFonts w:ascii="Book Antiqua" w:eastAsia="Times New Roman" w:hAnsi="Book Antiqua"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0D1B75"/>
    <w:pPr>
      <w:spacing w:before="300"/>
    </w:pPr>
    <w:rPr>
      <w:rFonts w:ascii="Garamond" w:hAnsi="Garamond"/>
      <w:sz w:val="24"/>
    </w:rPr>
  </w:style>
  <w:style w:type="character" w:customStyle="1" w:styleId="CorpotestoCarattere">
    <w:name w:val="Corpo testo Carattere"/>
    <w:basedOn w:val="Carpredefinitoparagrafo"/>
    <w:link w:val="Corpotesto"/>
    <w:rsid w:val="000D1B75"/>
    <w:rPr>
      <w:rFonts w:ascii="Garamond" w:eastAsia="Times New Roman" w:hAnsi="Garamond" w:cs="Times New Roman"/>
      <w:szCs w:val="20"/>
    </w:rPr>
  </w:style>
  <w:style w:type="paragraph" w:styleId="Paragrafoelenco">
    <w:name w:val="List Paragraph"/>
    <w:basedOn w:val="Normale"/>
    <w:uiPriority w:val="34"/>
    <w:qFormat/>
    <w:rsid w:val="000D1B75"/>
    <w:pPr>
      <w:spacing w:after="200" w:line="276" w:lineRule="auto"/>
      <w:ind w:left="720"/>
      <w:contextualSpacing/>
    </w:pPr>
    <w:rPr>
      <w:rFonts w:ascii="Calibri" w:eastAsia="Calibri" w:hAnsi="Calibri"/>
      <w:sz w:val="22"/>
      <w:szCs w:val="22"/>
      <w:lang w:eastAsia="en-US"/>
    </w:rPr>
  </w:style>
  <w:style w:type="paragraph" w:customStyle="1" w:styleId="Stile10">
    <w:name w:val="Stile10"/>
    <w:basedOn w:val="Normale"/>
    <w:link w:val="Stile10Carattere"/>
    <w:qFormat/>
    <w:rsid w:val="000D1B75"/>
    <w:pPr>
      <w:spacing w:line="240" w:lineRule="exact"/>
      <w:jc w:val="both"/>
    </w:pPr>
    <w:rPr>
      <w:rFonts w:ascii="Verdana" w:hAnsi="Verdana"/>
      <w:sz w:val="22"/>
      <w:szCs w:val="22"/>
    </w:rPr>
  </w:style>
  <w:style w:type="character" w:customStyle="1" w:styleId="Stile10Carattere">
    <w:name w:val="Stile10 Carattere"/>
    <w:link w:val="Stile10"/>
    <w:rsid w:val="000D1B75"/>
    <w:rPr>
      <w:rFonts w:ascii="Verdana" w:eastAsia="Times New Roman" w:hAnsi="Verdana" w:cs="Times New Roman"/>
      <w:sz w:val="22"/>
      <w:szCs w:val="22"/>
    </w:rPr>
  </w:style>
  <w:style w:type="paragraph" w:customStyle="1" w:styleId="Didascaliafigura">
    <w:name w:val="Didascalia figura"/>
    <w:basedOn w:val="Normale"/>
    <w:next w:val="Normale"/>
    <w:rsid w:val="000D1B75"/>
    <w:pPr>
      <w:tabs>
        <w:tab w:val="left" w:pos="9356"/>
      </w:tabs>
      <w:spacing w:before="360" w:after="120" w:line="260" w:lineRule="exact"/>
      <w:ind w:left="283" w:hanging="283"/>
      <w:jc w:val="both"/>
    </w:pPr>
    <w:rPr>
      <w:rFonts w:ascii="Times New Roman" w:hAnsi="Times New Roman"/>
    </w:rPr>
  </w:style>
  <w:style w:type="paragraph" w:customStyle="1" w:styleId="t2">
    <w:name w:val="t2"/>
    <w:rsid w:val="000D1B75"/>
    <w:pPr>
      <w:widowControl w:val="0"/>
      <w:autoSpaceDE w:val="0"/>
      <w:autoSpaceDN w:val="0"/>
      <w:adjustRightInd w:val="0"/>
      <w:spacing w:before="240" w:after="120"/>
    </w:pPr>
    <w:rPr>
      <w:rFonts w:ascii="Arial" w:eastAsia="Times New Roman" w:hAnsi="Arial" w:cs="Arial"/>
      <w:b/>
      <w:bCs/>
    </w:rPr>
  </w:style>
  <w:style w:type="paragraph" w:customStyle="1" w:styleId="tx">
    <w:name w:val="tx"/>
    <w:rsid w:val="000D1B75"/>
    <w:pPr>
      <w:widowControl w:val="0"/>
      <w:autoSpaceDE w:val="0"/>
      <w:autoSpaceDN w:val="0"/>
      <w:adjustRightInd w:val="0"/>
      <w:jc w:val="both"/>
    </w:pPr>
    <w:rPr>
      <w:rFonts w:ascii="Book Antiqua" w:eastAsia="Times New Roman" w:hAnsi="Book Antiqua" w:cs="Times New Roman"/>
      <w:sz w:val="21"/>
      <w:szCs w:val="23"/>
    </w:rPr>
  </w:style>
  <w:style w:type="paragraph" w:styleId="Testofumetto">
    <w:name w:val="Balloon Text"/>
    <w:basedOn w:val="Normale"/>
    <w:link w:val="TestofumettoCarattere"/>
    <w:uiPriority w:val="99"/>
    <w:semiHidden/>
    <w:unhideWhenUsed/>
    <w:rsid w:val="000D1B75"/>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0D1B75"/>
    <w:rPr>
      <w:rFonts w:ascii="Lucida Grande" w:eastAsia="Times New Roman" w:hAnsi="Lucida Grande" w:cs="Lucida Grande"/>
      <w:sz w:val="18"/>
      <w:szCs w:val="18"/>
    </w:rPr>
  </w:style>
  <w:style w:type="paragraph" w:customStyle="1" w:styleId="Corpodeltesto1">
    <w:name w:val="Corpo del testo1"/>
    <w:basedOn w:val="Normale"/>
    <w:rsid w:val="000D1B75"/>
    <w:pPr>
      <w:spacing w:line="234" w:lineRule="exact"/>
      <w:ind w:firstLine="227"/>
      <w:jc w:val="both"/>
    </w:pPr>
    <w:rPr>
      <w:rFonts w:ascii="Times New Roman" w:hAnsi="Times New Roman"/>
      <w:kern w:val="19"/>
      <w:sz w:val="21"/>
    </w:rPr>
  </w:style>
  <w:style w:type="character" w:styleId="Rimandocommento">
    <w:name w:val="annotation reference"/>
    <w:basedOn w:val="Carpredefinitoparagrafo"/>
    <w:uiPriority w:val="99"/>
    <w:semiHidden/>
    <w:unhideWhenUsed/>
    <w:rsid w:val="000D1B75"/>
    <w:rPr>
      <w:sz w:val="16"/>
      <w:szCs w:val="16"/>
    </w:rPr>
  </w:style>
  <w:style w:type="paragraph" w:styleId="Testocommento">
    <w:name w:val="annotation text"/>
    <w:basedOn w:val="Normale"/>
    <w:link w:val="TestocommentoCarattere"/>
    <w:uiPriority w:val="99"/>
    <w:semiHidden/>
    <w:unhideWhenUsed/>
    <w:rsid w:val="000D1B75"/>
  </w:style>
  <w:style w:type="character" w:customStyle="1" w:styleId="TestocommentoCarattere">
    <w:name w:val="Testo commento Carattere"/>
    <w:basedOn w:val="Carpredefinitoparagrafo"/>
    <w:link w:val="Testocommento"/>
    <w:uiPriority w:val="99"/>
    <w:semiHidden/>
    <w:rsid w:val="000D1B75"/>
    <w:rPr>
      <w:rFonts w:ascii="Book Antiqua" w:eastAsia="Times New Roman" w:hAnsi="Book Antiqua" w:cs="Times New Roman"/>
      <w:sz w:val="20"/>
      <w:szCs w:val="20"/>
    </w:rPr>
  </w:style>
  <w:style w:type="paragraph" w:styleId="Soggettocommento">
    <w:name w:val="annotation subject"/>
    <w:basedOn w:val="Testocommento"/>
    <w:next w:val="Testocommento"/>
    <w:link w:val="SoggettocommentoCarattere"/>
    <w:uiPriority w:val="99"/>
    <w:semiHidden/>
    <w:unhideWhenUsed/>
    <w:rsid w:val="000D1B75"/>
    <w:rPr>
      <w:b/>
      <w:bCs/>
    </w:rPr>
  </w:style>
  <w:style w:type="character" w:customStyle="1" w:styleId="SoggettocommentoCarattere">
    <w:name w:val="Soggetto commento Carattere"/>
    <w:basedOn w:val="TestocommentoCarattere"/>
    <w:link w:val="Soggettocommento"/>
    <w:uiPriority w:val="99"/>
    <w:semiHidden/>
    <w:rsid w:val="000D1B75"/>
    <w:rPr>
      <w:rFonts w:ascii="Book Antiqua" w:eastAsia="Times New Roman" w:hAnsi="Book Antiqua" w:cs="Times New Roman"/>
      <w:b/>
      <w:bCs/>
      <w:sz w:val="20"/>
      <w:szCs w:val="20"/>
    </w:rPr>
  </w:style>
  <w:style w:type="paragraph" w:styleId="Intestazione">
    <w:name w:val="header"/>
    <w:basedOn w:val="Normale"/>
    <w:link w:val="IntestazioneCarattere"/>
    <w:uiPriority w:val="99"/>
    <w:unhideWhenUsed/>
    <w:rsid w:val="000D1B75"/>
    <w:pPr>
      <w:tabs>
        <w:tab w:val="center" w:pos="4819"/>
        <w:tab w:val="right" w:pos="9638"/>
      </w:tabs>
    </w:pPr>
  </w:style>
  <w:style w:type="character" w:customStyle="1" w:styleId="IntestazioneCarattere">
    <w:name w:val="Intestazione Carattere"/>
    <w:basedOn w:val="Carpredefinitoparagrafo"/>
    <w:link w:val="Intestazione"/>
    <w:uiPriority w:val="99"/>
    <w:rsid w:val="000D1B75"/>
    <w:rPr>
      <w:rFonts w:ascii="Book Antiqua" w:eastAsia="Times New Roman" w:hAnsi="Book Antiqua" w:cs="Times New Roman"/>
      <w:sz w:val="20"/>
      <w:szCs w:val="20"/>
    </w:rPr>
  </w:style>
  <w:style w:type="paragraph" w:styleId="Pidipagina">
    <w:name w:val="footer"/>
    <w:basedOn w:val="Normale"/>
    <w:link w:val="PidipaginaCarattere"/>
    <w:uiPriority w:val="99"/>
    <w:unhideWhenUsed/>
    <w:rsid w:val="000D1B75"/>
    <w:pPr>
      <w:tabs>
        <w:tab w:val="center" w:pos="4819"/>
        <w:tab w:val="right" w:pos="9638"/>
      </w:tabs>
    </w:pPr>
  </w:style>
  <w:style w:type="character" w:customStyle="1" w:styleId="PidipaginaCarattere">
    <w:name w:val="Piè di pagina Carattere"/>
    <w:basedOn w:val="Carpredefinitoparagrafo"/>
    <w:link w:val="Pidipagina"/>
    <w:uiPriority w:val="99"/>
    <w:rsid w:val="000D1B75"/>
    <w:rPr>
      <w:rFonts w:ascii="Book Antiqua" w:eastAsia="Times New Roman" w:hAnsi="Book Antiqua" w:cs="Times New Roman"/>
      <w:sz w:val="20"/>
      <w:szCs w:val="20"/>
    </w:rPr>
  </w:style>
  <w:style w:type="paragraph" w:customStyle="1" w:styleId="Standard">
    <w:name w:val="Standard"/>
    <w:rsid w:val="00B762B4"/>
    <w:pPr>
      <w:suppressAutoHyphens/>
      <w:autoSpaceDN w:val="0"/>
      <w:textAlignment w:val="baseline"/>
    </w:pPr>
    <w:rPr>
      <w:rFonts w:ascii="Book Antiqua" w:eastAsia="Times New Roman" w:hAnsi="Book Antiqua" w:cs="Times New Roman"/>
      <w:kern w:val="3"/>
      <w:sz w:val="20"/>
      <w:szCs w:val="20"/>
    </w:rPr>
  </w:style>
  <w:style w:type="paragraph" w:customStyle="1" w:styleId="Textbody">
    <w:name w:val="Text body"/>
    <w:basedOn w:val="Standard"/>
    <w:rsid w:val="00B762B4"/>
    <w:pPr>
      <w:spacing w:before="300"/>
    </w:pPr>
    <w:rPr>
      <w:rFonts w:ascii="Garamond" w:hAnsi="Garamond"/>
      <w:sz w:val="24"/>
    </w:rPr>
  </w:style>
  <w:style w:type="numbering" w:customStyle="1" w:styleId="WWNum1">
    <w:name w:val="WWNum1"/>
    <w:basedOn w:val="Nessunelenco"/>
    <w:rsid w:val="00B762B4"/>
    <w:pPr>
      <w:numPr>
        <w:numId w:val="1"/>
      </w:numPr>
    </w:pPr>
  </w:style>
  <w:style w:type="numbering" w:customStyle="1" w:styleId="WWNum2">
    <w:name w:val="WWNum2"/>
    <w:basedOn w:val="Nessunelenco"/>
    <w:rsid w:val="00B762B4"/>
    <w:pPr>
      <w:numPr>
        <w:numId w:val="2"/>
      </w:numPr>
    </w:pPr>
  </w:style>
  <w:style w:type="numbering" w:customStyle="1" w:styleId="WWNum3">
    <w:name w:val="WWNum3"/>
    <w:basedOn w:val="Nessunelenco"/>
    <w:rsid w:val="00B762B4"/>
    <w:pPr>
      <w:numPr>
        <w:numId w:val="3"/>
      </w:numPr>
    </w:pPr>
  </w:style>
  <w:style w:type="paragraph" w:styleId="Corpodeltesto2">
    <w:name w:val="Body Text 2"/>
    <w:basedOn w:val="Normale"/>
    <w:link w:val="Corpodeltesto2Carattere"/>
    <w:uiPriority w:val="99"/>
    <w:semiHidden/>
    <w:unhideWhenUsed/>
    <w:rsid w:val="007D062C"/>
    <w:pPr>
      <w:spacing w:after="120" w:line="480" w:lineRule="auto"/>
    </w:pPr>
  </w:style>
  <w:style w:type="character" w:customStyle="1" w:styleId="Corpodeltesto2Carattere">
    <w:name w:val="Corpo del testo 2 Carattere"/>
    <w:basedOn w:val="Carpredefinitoparagrafo"/>
    <w:link w:val="Corpodeltesto2"/>
    <w:uiPriority w:val="99"/>
    <w:semiHidden/>
    <w:rsid w:val="007D062C"/>
    <w:rPr>
      <w:rFonts w:ascii="Book Antiqua" w:eastAsia="Times New Roman" w:hAnsi="Book Antiqua" w:cs="Times New Roman"/>
      <w:sz w:val="20"/>
      <w:szCs w:val="20"/>
    </w:rPr>
  </w:style>
  <w:style w:type="paragraph" w:styleId="Nessunaspaziatura">
    <w:name w:val="No Spacing"/>
    <w:uiPriority w:val="1"/>
    <w:qFormat/>
    <w:rsid w:val="00E22BFA"/>
    <w:rPr>
      <w:rFonts w:ascii="Book Antiqua" w:eastAsia="Times New Roman" w:hAnsi="Book Antiqua" w:cs="Times New Roman"/>
      <w:sz w:val="20"/>
      <w:szCs w:val="20"/>
    </w:rPr>
  </w:style>
  <w:style w:type="table" w:styleId="Grigliatabella">
    <w:name w:val="Table Grid"/>
    <w:basedOn w:val="Tabellanormale"/>
    <w:uiPriority w:val="59"/>
    <w:rsid w:val="006C3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A56FF5"/>
    <w:pPr>
      <w:spacing w:before="100" w:beforeAutospacing="1" w:after="100" w:afterAutospacing="1"/>
    </w:pPr>
    <w:rPr>
      <w:rFonts w:ascii="Times" w:eastAsiaTheme="minorEastAsia"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9663">
      <w:bodyDiv w:val="1"/>
      <w:marLeft w:val="0"/>
      <w:marRight w:val="0"/>
      <w:marTop w:val="0"/>
      <w:marBottom w:val="0"/>
      <w:divBdr>
        <w:top w:val="none" w:sz="0" w:space="0" w:color="auto"/>
        <w:left w:val="none" w:sz="0" w:space="0" w:color="auto"/>
        <w:bottom w:val="none" w:sz="0" w:space="0" w:color="auto"/>
        <w:right w:val="none" w:sz="0" w:space="0" w:color="auto"/>
      </w:divBdr>
    </w:div>
    <w:div w:id="113407329">
      <w:bodyDiv w:val="1"/>
      <w:marLeft w:val="0"/>
      <w:marRight w:val="0"/>
      <w:marTop w:val="0"/>
      <w:marBottom w:val="0"/>
      <w:divBdr>
        <w:top w:val="none" w:sz="0" w:space="0" w:color="auto"/>
        <w:left w:val="none" w:sz="0" w:space="0" w:color="auto"/>
        <w:bottom w:val="none" w:sz="0" w:space="0" w:color="auto"/>
        <w:right w:val="none" w:sz="0" w:space="0" w:color="auto"/>
      </w:divBdr>
    </w:div>
    <w:div w:id="123157462">
      <w:bodyDiv w:val="1"/>
      <w:marLeft w:val="0"/>
      <w:marRight w:val="0"/>
      <w:marTop w:val="0"/>
      <w:marBottom w:val="0"/>
      <w:divBdr>
        <w:top w:val="none" w:sz="0" w:space="0" w:color="auto"/>
        <w:left w:val="none" w:sz="0" w:space="0" w:color="auto"/>
        <w:bottom w:val="none" w:sz="0" w:space="0" w:color="auto"/>
        <w:right w:val="none" w:sz="0" w:space="0" w:color="auto"/>
      </w:divBdr>
    </w:div>
    <w:div w:id="167865311">
      <w:bodyDiv w:val="1"/>
      <w:marLeft w:val="0"/>
      <w:marRight w:val="0"/>
      <w:marTop w:val="0"/>
      <w:marBottom w:val="0"/>
      <w:divBdr>
        <w:top w:val="none" w:sz="0" w:space="0" w:color="auto"/>
        <w:left w:val="none" w:sz="0" w:space="0" w:color="auto"/>
        <w:bottom w:val="none" w:sz="0" w:space="0" w:color="auto"/>
        <w:right w:val="none" w:sz="0" w:space="0" w:color="auto"/>
      </w:divBdr>
    </w:div>
    <w:div w:id="177432666">
      <w:bodyDiv w:val="1"/>
      <w:marLeft w:val="0"/>
      <w:marRight w:val="0"/>
      <w:marTop w:val="0"/>
      <w:marBottom w:val="0"/>
      <w:divBdr>
        <w:top w:val="none" w:sz="0" w:space="0" w:color="auto"/>
        <w:left w:val="none" w:sz="0" w:space="0" w:color="auto"/>
        <w:bottom w:val="none" w:sz="0" w:space="0" w:color="auto"/>
        <w:right w:val="none" w:sz="0" w:space="0" w:color="auto"/>
      </w:divBdr>
    </w:div>
    <w:div w:id="548810454">
      <w:bodyDiv w:val="1"/>
      <w:marLeft w:val="0"/>
      <w:marRight w:val="0"/>
      <w:marTop w:val="0"/>
      <w:marBottom w:val="0"/>
      <w:divBdr>
        <w:top w:val="none" w:sz="0" w:space="0" w:color="auto"/>
        <w:left w:val="none" w:sz="0" w:space="0" w:color="auto"/>
        <w:bottom w:val="none" w:sz="0" w:space="0" w:color="auto"/>
        <w:right w:val="none" w:sz="0" w:space="0" w:color="auto"/>
      </w:divBdr>
    </w:div>
    <w:div w:id="648293609">
      <w:bodyDiv w:val="1"/>
      <w:marLeft w:val="0"/>
      <w:marRight w:val="0"/>
      <w:marTop w:val="0"/>
      <w:marBottom w:val="0"/>
      <w:divBdr>
        <w:top w:val="none" w:sz="0" w:space="0" w:color="auto"/>
        <w:left w:val="none" w:sz="0" w:space="0" w:color="auto"/>
        <w:bottom w:val="none" w:sz="0" w:space="0" w:color="auto"/>
        <w:right w:val="none" w:sz="0" w:space="0" w:color="auto"/>
      </w:divBdr>
    </w:div>
    <w:div w:id="665085907">
      <w:bodyDiv w:val="1"/>
      <w:marLeft w:val="0"/>
      <w:marRight w:val="0"/>
      <w:marTop w:val="0"/>
      <w:marBottom w:val="0"/>
      <w:divBdr>
        <w:top w:val="none" w:sz="0" w:space="0" w:color="auto"/>
        <w:left w:val="none" w:sz="0" w:space="0" w:color="auto"/>
        <w:bottom w:val="none" w:sz="0" w:space="0" w:color="auto"/>
        <w:right w:val="none" w:sz="0" w:space="0" w:color="auto"/>
      </w:divBdr>
    </w:div>
    <w:div w:id="1159033215">
      <w:bodyDiv w:val="1"/>
      <w:marLeft w:val="0"/>
      <w:marRight w:val="0"/>
      <w:marTop w:val="0"/>
      <w:marBottom w:val="0"/>
      <w:divBdr>
        <w:top w:val="none" w:sz="0" w:space="0" w:color="auto"/>
        <w:left w:val="none" w:sz="0" w:space="0" w:color="auto"/>
        <w:bottom w:val="none" w:sz="0" w:space="0" w:color="auto"/>
        <w:right w:val="none" w:sz="0" w:space="0" w:color="auto"/>
      </w:divBdr>
    </w:div>
    <w:div w:id="1211650020">
      <w:bodyDiv w:val="1"/>
      <w:marLeft w:val="0"/>
      <w:marRight w:val="0"/>
      <w:marTop w:val="0"/>
      <w:marBottom w:val="0"/>
      <w:divBdr>
        <w:top w:val="none" w:sz="0" w:space="0" w:color="auto"/>
        <w:left w:val="none" w:sz="0" w:space="0" w:color="auto"/>
        <w:bottom w:val="none" w:sz="0" w:space="0" w:color="auto"/>
        <w:right w:val="none" w:sz="0" w:space="0" w:color="auto"/>
      </w:divBdr>
    </w:div>
    <w:div w:id="1279793455">
      <w:bodyDiv w:val="1"/>
      <w:marLeft w:val="0"/>
      <w:marRight w:val="0"/>
      <w:marTop w:val="0"/>
      <w:marBottom w:val="0"/>
      <w:divBdr>
        <w:top w:val="none" w:sz="0" w:space="0" w:color="auto"/>
        <w:left w:val="none" w:sz="0" w:space="0" w:color="auto"/>
        <w:bottom w:val="none" w:sz="0" w:space="0" w:color="auto"/>
        <w:right w:val="none" w:sz="0" w:space="0" w:color="auto"/>
      </w:divBdr>
    </w:div>
    <w:div w:id="1289892806">
      <w:bodyDiv w:val="1"/>
      <w:marLeft w:val="0"/>
      <w:marRight w:val="0"/>
      <w:marTop w:val="0"/>
      <w:marBottom w:val="0"/>
      <w:divBdr>
        <w:top w:val="none" w:sz="0" w:space="0" w:color="auto"/>
        <w:left w:val="none" w:sz="0" w:space="0" w:color="auto"/>
        <w:bottom w:val="none" w:sz="0" w:space="0" w:color="auto"/>
        <w:right w:val="none" w:sz="0" w:space="0" w:color="auto"/>
      </w:divBdr>
    </w:div>
    <w:div w:id="1354721417">
      <w:bodyDiv w:val="1"/>
      <w:marLeft w:val="0"/>
      <w:marRight w:val="0"/>
      <w:marTop w:val="0"/>
      <w:marBottom w:val="0"/>
      <w:divBdr>
        <w:top w:val="none" w:sz="0" w:space="0" w:color="auto"/>
        <w:left w:val="none" w:sz="0" w:space="0" w:color="auto"/>
        <w:bottom w:val="none" w:sz="0" w:space="0" w:color="auto"/>
        <w:right w:val="none" w:sz="0" w:space="0" w:color="auto"/>
      </w:divBdr>
    </w:div>
    <w:div w:id="1375501989">
      <w:bodyDiv w:val="1"/>
      <w:marLeft w:val="0"/>
      <w:marRight w:val="0"/>
      <w:marTop w:val="0"/>
      <w:marBottom w:val="0"/>
      <w:divBdr>
        <w:top w:val="none" w:sz="0" w:space="0" w:color="auto"/>
        <w:left w:val="none" w:sz="0" w:space="0" w:color="auto"/>
        <w:bottom w:val="none" w:sz="0" w:space="0" w:color="auto"/>
        <w:right w:val="none" w:sz="0" w:space="0" w:color="auto"/>
      </w:divBdr>
    </w:div>
    <w:div w:id="1399013521">
      <w:bodyDiv w:val="1"/>
      <w:marLeft w:val="0"/>
      <w:marRight w:val="0"/>
      <w:marTop w:val="0"/>
      <w:marBottom w:val="0"/>
      <w:divBdr>
        <w:top w:val="none" w:sz="0" w:space="0" w:color="auto"/>
        <w:left w:val="none" w:sz="0" w:space="0" w:color="auto"/>
        <w:bottom w:val="none" w:sz="0" w:space="0" w:color="auto"/>
        <w:right w:val="none" w:sz="0" w:space="0" w:color="auto"/>
      </w:divBdr>
      <w:divsChild>
        <w:div w:id="961694777">
          <w:marLeft w:val="0"/>
          <w:marRight w:val="0"/>
          <w:marTop w:val="0"/>
          <w:marBottom w:val="0"/>
          <w:divBdr>
            <w:top w:val="none" w:sz="0" w:space="0" w:color="auto"/>
            <w:left w:val="none" w:sz="0" w:space="0" w:color="auto"/>
            <w:bottom w:val="none" w:sz="0" w:space="0" w:color="auto"/>
            <w:right w:val="none" w:sz="0" w:space="0" w:color="auto"/>
          </w:divBdr>
          <w:divsChild>
            <w:div w:id="455485461">
              <w:marLeft w:val="0"/>
              <w:marRight w:val="0"/>
              <w:marTop w:val="0"/>
              <w:marBottom w:val="0"/>
              <w:divBdr>
                <w:top w:val="none" w:sz="0" w:space="0" w:color="auto"/>
                <w:left w:val="none" w:sz="0" w:space="0" w:color="auto"/>
                <w:bottom w:val="none" w:sz="0" w:space="0" w:color="auto"/>
                <w:right w:val="none" w:sz="0" w:space="0" w:color="auto"/>
              </w:divBdr>
              <w:divsChild>
                <w:div w:id="119546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854631">
      <w:bodyDiv w:val="1"/>
      <w:marLeft w:val="0"/>
      <w:marRight w:val="0"/>
      <w:marTop w:val="0"/>
      <w:marBottom w:val="0"/>
      <w:divBdr>
        <w:top w:val="none" w:sz="0" w:space="0" w:color="auto"/>
        <w:left w:val="none" w:sz="0" w:space="0" w:color="auto"/>
        <w:bottom w:val="none" w:sz="0" w:space="0" w:color="auto"/>
        <w:right w:val="none" w:sz="0" w:space="0" w:color="auto"/>
      </w:divBdr>
      <w:divsChild>
        <w:div w:id="1291786204">
          <w:marLeft w:val="1800"/>
          <w:marRight w:val="0"/>
          <w:marTop w:val="96"/>
          <w:marBottom w:val="0"/>
          <w:divBdr>
            <w:top w:val="none" w:sz="0" w:space="0" w:color="auto"/>
            <w:left w:val="none" w:sz="0" w:space="0" w:color="auto"/>
            <w:bottom w:val="none" w:sz="0" w:space="0" w:color="auto"/>
            <w:right w:val="none" w:sz="0" w:space="0" w:color="auto"/>
          </w:divBdr>
        </w:div>
      </w:divsChild>
    </w:div>
    <w:div w:id="1620801621">
      <w:bodyDiv w:val="1"/>
      <w:marLeft w:val="0"/>
      <w:marRight w:val="0"/>
      <w:marTop w:val="0"/>
      <w:marBottom w:val="0"/>
      <w:divBdr>
        <w:top w:val="none" w:sz="0" w:space="0" w:color="auto"/>
        <w:left w:val="none" w:sz="0" w:space="0" w:color="auto"/>
        <w:bottom w:val="none" w:sz="0" w:space="0" w:color="auto"/>
        <w:right w:val="none" w:sz="0" w:space="0" w:color="auto"/>
      </w:divBdr>
    </w:div>
    <w:div w:id="1697384884">
      <w:bodyDiv w:val="1"/>
      <w:marLeft w:val="0"/>
      <w:marRight w:val="0"/>
      <w:marTop w:val="0"/>
      <w:marBottom w:val="0"/>
      <w:divBdr>
        <w:top w:val="none" w:sz="0" w:space="0" w:color="auto"/>
        <w:left w:val="none" w:sz="0" w:space="0" w:color="auto"/>
        <w:bottom w:val="none" w:sz="0" w:space="0" w:color="auto"/>
        <w:right w:val="none" w:sz="0" w:space="0" w:color="auto"/>
      </w:divBdr>
    </w:div>
    <w:div w:id="1758556903">
      <w:bodyDiv w:val="1"/>
      <w:marLeft w:val="0"/>
      <w:marRight w:val="0"/>
      <w:marTop w:val="0"/>
      <w:marBottom w:val="0"/>
      <w:divBdr>
        <w:top w:val="none" w:sz="0" w:space="0" w:color="auto"/>
        <w:left w:val="none" w:sz="0" w:space="0" w:color="auto"/>
        <w:bottom w:val="none" w:sz="0" w:space="0" w:color="auto"/>
        <w:right w:val="none" w:sz="0" w:space="0" w:color="auto"/>
      </w:divBdr>
    </w:div>
    <w:div w:id="1955166593">
      <w:bodyDiv w:val="1"/>
      <w:marLeft w:val="0"/>
      <w:marRight w:val="0"/>
      <w:marTop w:val="0"/>
      <w:marBottom w:val="0"/>
      <w:divBdr>
        <w:top w:val="none" w:sz="0" w:space="0" w:color="auto"/>
        <w:left w:val="none" w:sz="0" w:space="0" w:color="auto"/>
        <w:bottom w:val="none" w:sz="0" w:space="0" w:color="auto"/>
        <w:right w:val="none" w:sz="0" w:space="0" w:color="auto"/>
      </w:divBdr>
    </w:div>
    <w:div w:id="21014129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54CDA-62E6-4775-9DB7-E98AE54FB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487</Words>
  <Characters>2777</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Giacomo Manetti</dc:creator>
  <cp:lastModifiedBy>luca bagnoli</cp:lastModifiedBy>
  <cp:revision>8</cp:revision>
  <cp:lastPrinted>2016-09-09T09:12:00Z</cp:lastPrinted>
  <dcterms:created xsi:type="dcterms:W3CDTF">2016-11-21T08:24:00Z</dcterms:created>
  <dcterms:modified xsi:type="dcterms:W3CDTF">2020-09-28T05:26:00Z</dcterms:modified>
</cp:coreProperties>
</file>