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66774523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FD1116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FD1116" w:rsidRPr="00FD1116">
        <w:rPr>
          <w:rFonts w:ascii="Verdana" w:hAnsi="Verdana"/>
          <w:sz w:val="22"/>
          <w:szCs w:val="22"/>
          <w:highlight w:val="yellow"/>
        </w:rPr>
        <w:t>– domande 03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77777777" w:rsidR="006C3B3A" w:rsidRPr="00E22BFA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174E3691" w14:textId="77777777" w:rsidR="00BC56BC" w:rsidRPr="008E3660" w:rsidRDefault="00BC56BC" w:rsidP="005140CE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1. Le spese di installazione per l’acquisizione di un impianto rientrano nel suo costo storico?</w:t>
      </w:r>
    </w:p>
    <w:p w14:paraId="2E90184B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Si, come oneri finanziari   </w:t>
      </w:r>
    </w:p>
    <w:p w14:paraId="6900B0E3" w14:textId="77777777" w:rsidR="00BC56BC" w:rsidRPr="0010176A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b/>
          <w:sz w:val="22"/>
          <w:szCs w:val="22"/>
          <w:lang w:eastAsia="en-US"/>
        </w:rPr>
      </w:pPr>
      <w:r w:rsidRPr="0010176A">
        <w:rPr>
          <w:rFonts w:ascii="Verdana" w:eastAsia="Calibri" w:hAnsi="Verdana" w:cs="Arial"/>
          <w:b/>
          <w:sz w:val="22"/>
          <w:szCs w:val="22"/>
          <w:lang w:eastAsia="en-US"/>
        </w:rPr>
        <w:t xml:space="preserve">Si, come oneri accessori </w:t>
      </w:r>
    </w:p>
    <w:p w14:paraId="5A8EE4C8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Si, come oneri diversi di gestione   </w:t>
      </w:r>
    </w:p>
    <w:p w14:paraId="36EBB136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No  </w:t>
      </w:r>
    </w:p>
    <w:p w14:paraId="0F3B8C28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50D355D" w14:textId="77777777" w:rsidR="00BC56BC" w:rsidRPr="008E3660" w:rsidRDefault="00BC56BC" w:rsidP="005140CE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2. Le spese di pubblicità possono essere capitalizzate se:</w:t>
      </w:r>
    </w:p>
    <w:p w14:paraId="66C4E861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>Presentano un durevole effetto di ricordo nel pubblico</w:t>
      </w:r>
    </w:p>
    <w:p w14:paraId="2B13C8E6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Sono relative a ingenti progetti pubblicitari </w:t>
      </w:r>
    </w:p>
    <w:p w14:paraId="310EFC78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>Presentano un’utilità specifica per il solo esercizio appena trascorso</w:t>
      </w:r>
    </w:p>
    <w:p w14:paraId="26F84410" w14:textId="77777777" w:rsidR="00BC56BC" w:rsidRPr="0010176A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b/>
          <w:sz w:val="22"/>
          <w:szCs w:val="22"/>
          <w:lang w:eastAsia="en-US"/>
        </w:rPr>
      </w:pPr>
      <w:r w:rsidRPr="0010176A">
        <w:rPr>
          <w:rFonts w:ascii="Verdana" w:eastAsia="Calibri" w:hAnsi="Verdana" w:cs="Arial"/>
          <w:b/>
          <w:sz w:val="22"/>
          <w:szCs w:val="22"/>
          <w:lang w:eastAsia="en-US"/>
        </w:rPr>
        <w:t xml:space="preserve">Nessuna delle precedenti </w:t>
      </w:r>
    </w:p>
    <w:p w14:paraId="7A7CA575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0E0A2A8" w14:textId="7F41AE6C" w:rsidR="00BC56BC" w:rsidRPr="008E3660" w:rsidRDefault="00BC56BC" w:rsidP="00BC56BC">
      <w:pPr>
        <w:widowControl w:val="0"/>
        <w:spacing w:line="240" w:lineRule="exact"/>
        <w:contextualSpacing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3. La redazione del bilancio secondo i principi contabili internazionali è obbligatoria per le società che:</w:t>
      </w:r>
    </w:p>
    <w:p w14:paraId="04CCD27D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superano i limiti di cui all’art. 2435 bis cc</w:t>
      </w:r>
    </w:p>
    <w:p w14:paraId="40B3B584" w14:textId="77777777" w:rsidR="00BC56BC" w:rsidRPr="0010176A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b/>
          <w:color w:val="000000" w:themeColor="text1"/>
          <w:sz w:val="22"/>
          <w:szCs w:val="22"/>
          <w:lang w:eastAsia="en-US"/>
        </w:rPr>
      </w:pPr>
      <w:r w:rsidRPr="0010176A">
        <w:rPr>
          <w:rFonts w:ascii="Verdana" w:eastAsia="Calibri" w:hAnsi="Verdana" w:cs="Arial"/>
          <w:b/>
          <w:color w:val="000000" w:themeColor="text1"/>
          <w:sz w:val="22"/>
          <w:szCs w:val="22"/>
          <w:lang w:eastAsia="en-US"/>
        </w:rPr>
        <w:t>sono quotate</w:t>
      </w:r>
    </w:p>
    <w:p w14:paraId="494753F5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sono controllate da società estere</w:t>
      </w:r>
    </w:p>
    <w:p w14:paraId="506CB106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nessuna delle precedenti è corretta</w:t>
      </w:r>
    </w:p>
    <w:p w14:paraId="74D016E8" w14:textId="77777777" w:rsidR="00BC56BC" w:rsidRPr="008E3660" w:rsidRDefault="00BC56BC" w:rsidP="00BC56BC">
      <w:pPr>
        <w:widowControl w:val="0"/>
        <w:jc w:val="both"/>
        <w:outlineLvl w:val="0"/>
        <w:rPr>
          <w:rFonts w:ascii="Verdana" w:hAnsi="Verdana"/>
          <w:sz w:val="22"/>
          <w:szCs w:val="22"/>
        </w:rPr>
      </w:pPr>
    </w:p>
    <w:p w14:paraId="65927110" w14:textId="77777777" w:rsidR="00BC56BC" w:rsidRPr="008E3660" w:rsidRDefault="00BC56BC" w:rsidP="00BC56BC">
      <w:pPr>
        <w:widowControl w:val="0"/>
        <w:numPr>
          <w:ilvl w:val="0"/>
          <w:numId w:val="12"/>
        </w:numPr>
        <w:spacing w:after="200"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Un’azienda acquista un’opera d’arte: dove compare in bilancio?</w:t>
      </w:r>
    </w:p>
    <w:p w14:paraId="3E0850D9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nelle immobilizzazioni immateriali, tra i diritti d’autore;</w:t>
      </w:r>
    </w:p>
    <w:p w14:paraId="60126D19" w14:textId="77777777" w:rsidR="00BC56BC" w:rsidRPr="0010176A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b/>
          <w:color w:val="000000" w:themeColor="text1"/>
          <w:sz w:val="22"/>
          <w:szCs w:val="22"/>
          <w:lang w:eastAsia="en-US"/>
        </w:rPr>
      </w:pPr>
      <w:r w:rsidRPr="0010176A">
        <w:rPr>
          <w:rFonts w:ascii="Verdana" w:hAnsi="Verdana" w:cs="Arial"/>
          <w:b/>
          <w:color w:val="000000" w:themeColor="text1"/>
          <w:sz w:val="22"/>
          <w:szCs w:val="22"/>
        </w:rPr>
        <w:t>nelle immobilizzazioni materiali, tra gli altri beni</w:t>
      </w:r>
      <w:r w:rsidRPr="0010176A">
        <w:rPr>
          <w:rFonts w:ascii="Verdana" w:eastAsia="Calibri" w:hAnsi="Verdana" w:cs="Arial"/>
          <w:b/>
          <w:color w:val="000000" w:themeColor="text1"/>
          <w:sz w:val="22"/>
          <w:szCs w:val="22"/>
          <w:lang w:eastAsia="en-US"/>
        </w:rPr>
        <w:t>;</w:t>
      </w:r>
    </w:p>
    <w:p w14:paraId="3DF030DF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nelle immobilizzazioni finanziarie, tra gli altri titoli</w:t>
      </w: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;</w:t>
      </w:r>
    </w:p>
    <w:p w14:paraId="428FBE38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nel patrimonio netto, tra le altre riserve.</w:t>
      </w:r>
    </w:p>
    <w:p w14:paraId="480CFE4C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2DE297B" w14:textId="213BD9A5" w:rsidR="00BC56BC" w:rsidRPr="008E3660" w:rsidRDefault="00BC56BC" w:rsidP="005140CE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5. L’iscrizione dell’avviamento nell’attivo di bilancio comporta</w:t>
      </w:r>
    </w:p>
    <w:p w14:paraId="4FEA4307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l’impossibilità di distribuire dividendi</w:t>
      </w:r>
    </w:p>
    <w:p w14:paraId="691A3A62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la possibilità di distribuire dividendi con il consenso del collegio sindacale</w:t>
      </w:r>
    </w:p>
    <w:p w14:paraId="2E3EAF73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la possibilità di distribuire dividendi qualora vi siano riserve disponibili</w:t>
      </w:r>
    </w:p>
    <w:p w14:paraId="35DD8D32" w14:textId="77777777" w:rsidR="00BC56BC" w:rsidRPr="0010176A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b/>
          <w:sz w:val="22"/>
          <w:szCs w:val="22"/>
        </w:rPr>
      </w:pPr>
      <w:r w:rsidRPr="0010176A">
        <w:rPr>
          <w:rFonts w:ascii="Verdana" w:hAnsi="Verdana" w:cs="Arial"/>
          <w:b/>
          <w:sz w:val="22"/>
          <w:szCs w:val="22"/>
        </w:rPr>
        <w:t>nessun vincolo alla distribuzione dei dividendi</w:t>
      </w:r>
    </w:p>
    <w:p w14:paraId="358480FA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58807C1C" w14:textId="3779ED7D" w:rsidR="00BC56BC" w:rsidRPr="008E3660" w:rsidRDefault="00BC56BC" w:rsidP="005140CE">
      <w:pPr>
        <w:spacing w:line="240" w:lineRule="exact"/>
        <w:contextualSpacing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6. Secondo l'OIC 16, il valore a cui viene riportata in bilancio una immobilizzazione:</w:t>
      </w:r>
    </w:p>
    <w:p w14:paraId="54262679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è sempre rappresentato dal costo di acquisto o di produzione</w:t>
      </w:r>
    </w:p>
    <w:p w14:paraId="569EC3CD" w14:textId="77777777" w:rsidR="00BC56BC" w:rsidRPr="0010176A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b/>
          <w:lang w:eastAsia="it-IT"/>
        </w:rPr>
      </w:pPr>
      <w:r w:rsidRPr="0010176A">
        <w:rPr>
          <w:rFonts w:ascii="Verdana" w:eastAsia="Times New Roman" w:hAnsi="Verdana" w:cs="Arial"/>
          <w:b/>
          <w:lang w:eastAsia="it-IT"/>
        </w:rPr>
        <w:t xml:space="preserve">non può eccedere il valore di mercato, se esiste, o in ogni caso il valore </w:t>
      </w:r>
    </w:p>
    <w:p w14:paraId="23CA7321" w14:textId="77777777" w:rsidR="00BC56BC" w:rsidRPr="0010176A" w:rsidRDefault="00BC56BC" w:rsidP="005140CE">
      <w:pPr>
        <w:pStyle w:val="Paragrafoelenco"/>
        <w:spacing w:after="0" w:line="240" w:lineRule="exact"/>
        <w:ind w:right="-515"/>
        <w:jc w:val="both"/>
        <w:rPr>
          <w:rFonts w:ascii="Verdana" w:eastAsia="Times New Roman" w:hAnsi="Verdana" w:cs="Arial"/>
          <w:b/>
          <w:lang w:eastAsia="it-IT"/>
        </w:rPr>
      </w:pPr>
      <w:r w:rsidRPr="0010176A">
        <w:rPr>
          <w:rFonts w:ascii="Verdana" w:eastAsia="Times New Roman" w:hAnsi="Verdana" w:cs="Arial"/>
          <w:b/>
          <w:lang w:eastAsia="it-IT"/>
        </w:rPr>
        <w:t>recuperabile mediante l'uso</w:t>
      </w:r>
    </w:p>
    <w:p w14:paraId="28AF82CB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deve essere sempre formato nello scambio, non potendosi dare stime</w:t>
      </w:r>
    </w:p>
    <w:p w14:paraId="70397C5C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può eccedere il valore recuperabile mediante l’uso ma non il valore di mercato</w:t>
      </w:r>
    </w:p>
    <w:p w14:paraId="4AA502C6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7684E28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78B2169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6F8D7A8E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21A38962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60F33B49" w:rsidR="007206A4" w:rsidRDefault="005E20F8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  <w:bookmarkStart w:id="0" w:name="_GoBack"/>
      <w:bookmarkEnd w:id="0"/>
    </w:p>
    <w:p w14:paraId="230EDA9E" w14:textId="77777777" w:rsidR="003113E6" w:rsidRDefault="003113E6" w:rsidP="003113E6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54522EFD" w14:textId="77777777" w:rsidR="004A09E1" w:rsidRDefault="004A09E1" w:rsidP="004A09E1">
      <w:pPr>
        <w:pStyle w:val="Corpotesto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1564F2">
        <w:rPr>
          <w:rFonts w:ascii="Verdana" w:eastAsia="Calibri" w:hAnsi="Verdana"/>
          <w:sz w:val="22"/>
          <w:szCs w:val="22"/>
          <w:lang w:eastAsia="en-US"/>
        </w:rPr>
        <w:t xml:space="preserve">La </w:t>
      </w:r>
      <w:proofErr w:type="spellStart"/>
      <w:r w:rsidRPr="001564F2">
        <w:rPr>
          <w:rFonts w:ascii="Verdana" w:eastAsia="Calibri" w:hAnsi="Verdana"/>
          <w:sz w:val="22"/>
          <w:szCs w:val="22"/>
          <w:lang w:eastAsia="en-US"/>
        </w:rPr>
        <w:t>ALfa</w:t>
      </w:r>
      <w:proofErr w:type="spellEnd"/>
      <w:r w:rsidRPr="001564F2">
        <w:rPr>
          <w:rFonts w:ascii="Verdana" w:eastAsia="Calibri" w:hAnsi="Verdana"/>
          <w:sz w:val="22"/>
          <w:szCs w:val="22"/>
          <w:lang w:eastAsia="en-US"/>
        </w:rPr>
        <w:t xml:space="preserve"> S.p.A. ha acquistato un automezzo strumenta</w:t>
      </w:r>
      <w:r>
        <w:rPr>
          <w:rFonts w:ascii="Verdana" w:eastAsia="Calibri" w:hAnsi="Verdana"/>
          <w:sz w:val="22"/>
          <w:szCs w:val="22"/>
          <w:lang w:eastAsia="en-US"/>
        </w:rPr>
        <w:t>le del costo complessivo di €. 2</w:t>
      </w:r>
      <w:r w:rsidRPr="001564F2">
        <w:rPr>
          <w:rFonts w:ascii="Verdana" w:eastAsia="Calibri" w:hAnsi="Verdana"/>
          <w:sz w:val="22"/>
          <w:szCs w:val="22"/>
          <w:lang w:eastAsia="en-US"/>
        </w:rPr>
        <w:t>00.000. Programma inizialmente un piano di ammortamento della durata di quattro anni (X1-X4), a quote costanti. Al 31/12/X3, prima di computare la quota di ammortamento, sottopone l’automezzo a manutenzioni straordinar</w:t>
      </w:r>
      <w:r>
        <w:rPr>
          <w:rFonts w:ascii="Verdana" w:eastAsia="Calibri" w:hAnsi="Verdana"/>
          <w:sz w:val="22"/>
          <w:szCs w:val="22"/>
          <w:lang w:eastAsia="en-US"/>
        </w:rPr>
        <w:t>ie del costo complessivo di €. 5</w:t>
      </w:r>
      <w:r w:rsidRPr="001564F2">
        <w:rPr>
          <w:rFonts w:ascii="Verdana" w:eastAsia="Calibri" w:hAnsi="Verdana"/>
          <w:sz w:val="22"/>
          <w:szCs w:val="22"/>
          <w:lang w:eastAsia="en-US"/>
        </w:rPr>
        <w:t>0.000, aumentandone la capacità di carico. Riproietta il piano di ammortamento per il biennio X3-X4, mantenendo la medesima durata e il regime a quote costanti. Si proceda a:</w:t>
      </w:r>
    </w:p>
    <w:p w14:paraId="6FE18F8D" w14:textId="77777777" w:rsidR="004A09E1" w:rsidRPr="001564F2" w:rsidRDefault="004A09E1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 w:rsidRPr="001564F2">
        <w:rPr>
          <w:rFonts w:ascii="Verdana" w:eastAsia="Calibri" w:hAnsi="Verdana"/>
          <w:sz w:val="22"/>
          <w:szCs w:val="22"/>
          <w:lang w:eastAsia="en-US"/>
        </w:rPr>
        <w:t>- calcolare le grandezze di bilancio;</w:t>
      </w:r>
    </w:p>
    <w:p w14:paraId="3B4D06CA" w14:textId="77777777" w:rsidR="004A09E1" w:rsidRDefault="004A09E1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 w:rsidRPr="001564F2">
        <w:rPr>
          <w:rFonts w:ascii="Verdana" w:eastAsia="Calibri" w:hAnsi="Verdana"/>
          <w:sz w:val="22"/>
          <w:szCs w:val="22"/>
          <w:lang w:eastAsia="en-US"/>
        </w:rPr>
        <w:t>- evidenziare i riflessi sui bilanci degli esercizi interessati (X1-X4</w:t>
      </w:r>
      <w:r>
        <w:rPr>
          <w:rFonts w:ascii="Verdana" w:eastAsia="Calibri" w:hAnsi="Verdana"/>
          <w:sz w:val="22"/>
          <w:szCs w:val="22"/>
          <w:lang w:eastAsia="en-US"/>
        </w:rPr>
        <w:t>)</w:t>
      </w:r>
      <w:r w:rsidRPr="001564F2">
        <w:rPr>
          <w:rFonts w:ascii="Verdana" w:eastAsia="Calibri" w:hAnsi="Verdana"/>
          <w:sz w:val="22"/>
          <w:szCs w:val="22"/>
          <w:lang w:eastAsia="en-US"/>
        </w:rPr>
        <w:t>.</w:t>
      </w:r>
    </w:p>
    <w:p w14:paraId="150A42E2" w14:textId="54CF3382" w:rsidR="004A09E1" w:rsidRDefault="004A09E1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</w:p>
    <w:p w14:paraId="2BF7F4DE" w14:textId="2500D2B1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Calcoli</w:t>
      </w:r>
    </w:p>
    <w:p w14:paraId="2B9F8FC4" w14:textId="77777777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</w:p>
    <w:p w14:paraId="72521E76" w14:textId="339DD23B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 w:rsidRPr="00EB20D7">
        <w:rPr>
          <w:rFonts w:eastAsia="Calibri"/>
          <w:noProof/>
        </w:rPr>
        <w:drawing>
          <wp:inline distT="0" distB="0" distL="0" distR="0" wp14:anchorId="36C7ACB0" wp14:editId="07C21073">
            <wp:extent cx="5530850" cy="2216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6E312" w14:textId="78ED42B8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</w:p>
    <w:p w14:paraId="2B5BAC1B" w14:textId="2CB6A6D2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Bilancio</w:t>
      </w:r>
    </w:p>
    <w:p w14:paraId="762A9BDB" w14:textId="07028C42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</w:p>
    <w:p w14:paraId="07CB6751" w14:textId="48025FDE" w:rsidR="00EB20D7" w:rsidRDefault="00EB20D7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 w:rsidRPr="00EB20D7">
        <w:rPr>
          <w:rFonts w:eastAsia="Calibri"/>
          <w:noProof/>
        </w:rPr>
        <w:drawing>
          <wp:inline distT="0" distB="0" distL="0" distR="0" wp14:anchorId="419720D8" wp14:editId="77AD221B">
            <wp:extent cx="5530850" cy="20447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0D7" w:rsidSect="000D1B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02712" w14:textId="77777777" w:rsidR="00A675D7" w:rsidRDefault="00A675D7">
      <w:r>
        <w:separator/>
      </w:r>
    </w:p>
  </w:endnote>
  <w:endnote w:type="continuationSeparator" w:id="0">
    <w:p w14:paraId="62CE5564" w14:textId="77777777" w:rsidR="00A675D7" w:rsidRDefault="00A6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2E100" w14:textId="77777777" w:rsidR="003B3AB5" w:rsidRDefault="003B3A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746DCF13" w:rsidR="000E36D0" w:rsidRDefault="000E36D0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5E20F8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0E36D0" w:rsidRDefault="000E36D0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79BF4" w14:textId="77777777" w:rsidR="003B3AB5" w:rsidRDefault="003B3A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732A8" w14:textId="77777777" w:rsidR="00A675D7" w:rsidRDefault="00A675D7">
      <w:r>
        <w:separator/>
      </w:r>
    </w:p>
  </w:footnote>
  <w:footnote w:type="continuationSeparator" w:id="0">
    <w:p w14:paraId="3AFAD612" w14:textId="77777777" w:rsidR="00A675D7" w:rsidRDefault="00A67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DF839" w14:textId="77777777" w:rsidR="003B3AB5" w:rsidRDefault="003B3A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0E36D0" w:rsidRPr="00862D0F" w:rsidRDefault="000E36D0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10B49" w14:textId="77777777" w:rsidR="003B3AB5" w:rsidRDefault="003B3A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1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C149C"/>
    <w:rsid w:val="000D1B75"/>
    <w:rsid w:val="000E36D0"/>
    <w:rsid w:val="0010176A"/>
    <w:rsid w:val="00133666"/>
    <w:rsid w:val="00157424"/>
    <w:rsid w:val="001830BA"/>
    <w:rsid w:val="002145AA"/>
    <w:rsid w:val="002416FB"/>
    <w:rsid w:val="0028266E"/>
    <w:rsid w:val="00297C9B"/>
    <w:rsid w:val="002D66A0"/>
    <w:rsid w:val="003113E6"/>
    <w:rsid w:val="003149CC"/>
    <w:rsid w:val="0035063A"/>
    <w:rsid w:val="00354C2F"/>
    <w:rsid w:val="00365CF6"/>
    <w:rsid w:val="00397C5C"/>
    <w:rsid w:val="003B25DD"/>
    <w:rsid w:val="003B3AB5"/>
    <w:rsid w:val="003E5D9C"/>
    <w:rsid w:val="003E5EE7"/>
    <w:rsid w:val="00463E9A"/>
    <w:rsid w:val="00483B04"/>
    <w:rsid w:val="00487662"/>
    <w:rsid w:val="00495736"/>
    <w:rsid w:val="00497E91"/>
    <w:rsid w:val="004A09E1"/>
    <w:rsid w:val="004B238D"/>
    <w:rsid w:val="004E3B45"/>
    <w:rsid w:val="005123C1"/>
    <w:rsid w:val="00515070"/>
    <w:rsid w:val="00530CBC"/>
    <w:rsid w:val="005622F2"/>
    <w:rsid w:val="00595DC1"/>
    <w:rsid w:val="005C06E5"/>
    <w:rsid w:val="005E20F8"/>
    <w:rsid w:val="005E2355"/>
    <w:rsid w:val="005E50A4"/>
    <w:rsid w:val="006244AC"/>
    <w:rsid w:val="006465F8"/>
    <w:rsid w:val="00686C1B"/>
    <w:rsid w:val="006C3B3A"/>
    <w:rsid w:val="006D5AE4"/>
    <w:rsid w:val="006E73A2"/>
    <w:rsid w:val="007206A4"/>
    <w:rsid w:val="00724FAB"/>
    <w:rsid w:val="0073048B"/>
    <w:rsid w:val="00737316"/>
    <w:rsid w:val="00750D0F"/>
    <w:rsid w:val="0079109A"/>
    <w:rsid w:val="007A111B"/>
    <w:rsid w:val="007D062C"/>
    <w:rsid w:val="007D3CA1"/>
    <w:rsid w:val="0080678B"/>
    <w:rsid w:val="0082235B"/>
    <w:rsid w:val="00862D0F"/>
    <w:rsid w:val="008703BE"/>
    <w:rsid w:val="0088233B"/>
    <w:rsid w:val="008E3660"/>
    <w:rsid w:val="00922A4D"/>
    <w:rsid w:val="00931AF8"/>
    <w:rsid w:val="009377FA"/>
    <w:rsid w:val="00937BA4"/>
    <w:rsid w:val="009827EE"/>
    <w:rsid w:val="00983C9C"/>
    <w:rsid w:val="009D52AE"/>
    <w:rsid w:val="00A33853"/>
    <w:rsid w:val="00A54099"/>
    <w:rsid w:val="00A675D7"/>
    <w:rsid w:val="00AC1E86"/>
    <w:rsid w:val="00AF645D"/>
    <w:rsid w:val="00B11168"/>
    <w:rsid w:val="00B475FD"/>
    <w:rsid w:val="00B62755"/>
    <w:rsid w:val="00B762B4"/>
    <w:rsid w:val="00B9540F"/>
    <w:rsid w:val="00B96810"/>
    <w:rsid w:val="00BC56BC"/>
    <w:rsid w:val="00C40C29"/>
    <w:rsid w:val="00C57F3C"/>
    <w:rsid w:val="00C8339B"/>
    <w:rsid w:val="00D26792"/>
    <w:rsid w:val="00DA1FD8"/>
    <w:rsid w:val="00DD14A4"/>
    <w:rsid w:val="00E22BFA"/>
    <w:rsid w:val="00E27E16"/>
    <w:rsid w:val="00E36F73"/>
    <w:rsid w:val="00E9096D"/>
    <w:rsid w:val="00EB20D7"/>
    <w:rsid w:val="00EB7244"/>
    <w:rsid w:val="00F07A46"/>
    <w:rsid w:val="00F2722C"/>
    <w:rsid w:val="00F62ECA"/>
    <w:rsid w:val="00F656A1"/>
    <w:rsid w:val="00FB1DEC"/>
    <w:rsid w:val="00FD1116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0348E7B1-8A15-4D1C-91EE-78B74007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49D45-DC55-499F-A051-1480FE9F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8</cp:revision>
  <cp:lastPrinted>2016-09-09T09:12:00Z</cp:lastPrinted>
  <dcterms:created xsi:type="dcterms:W3CDTF">2017-10-26T09:32:00Z</dcterms:created>
  <dcterms:modified xsi:type="dcterms:W3CDTF">2020-09-28T05:17:00Z</dcterms:modified>
</cp:coreProperties>
</file>