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66774523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FD1116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FD1116" w:rsidRPr="00FD1116">
        <w:rPr>
          <w:rFonts w:ascii="Verdana" w:hAnsi="Verdana"/>
          <w:sz w:val="22"/>
          <w:szCs w:val="22"/>
          <w:highlight w:val="yellow"/>
        </w:rPr>
        <w:t>– domande 03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77777777" w:rsidR="006C3B3A" w:rsidRPr="00E22BFA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174E3691" w14:textId="77777777" w:rsidR="00BC56BC" w:rsidRPr="008E3660" w:rsidRDefault="00BC56BC" w:rsidP="005140CE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1. Le spese di installazione per l’acquisizione di un impianto rientrano nel suo costo storico?</w:t>
      </w:r>
    </w:p>
    <w:p w14:paraId="2E90184B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 xml:space="preserve">Si, come oneri finanziari   </w:t>
      </w:r>
    </w:p>
    <w:p w14:paraId="6900B0E3" w14:textId="77777777" w:rsidR="00BC56BC" w:rsidRPr="0010176A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10176A">
        <w:rPr>
          <w:rFonts w:ascii="Verdana" w:eastAsia="Calibri" w:hAnsi="Verdana" w:cs="Arial"/>
          <w:b/>
          <w:sz w:val="22"/>
          <w:szCs w:val="22"/>
          <w:lang w:eastAsia="en-US"/>
        </w:rPr>
        <w:t xml:space="preserve">Si, come oneri accessori </w:t>
      </w:r>
    </w:p>
    <w:p w14:paraId="5A8EE4C8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 xml:space="preserve">Si, come oneri diversi di gestione   </w:t>
      </w:r>
    </w:p>
    <w:p w14:paraId="36EBB136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 xml:space="preserve">No  </w:t>
      </w:r>
    </w:p>
    <w:p w14:paraId="0F3B8C28" w14:textId="77777777" w:rsidR="00BC56BC" w:rsidRPr="008E3660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50D355D" w14:textId="77777777" w:rsidR="00BC56BC" w:rsidRPr="008E3660" w:rsidRDefault="00BC56BC" w:rsidP="005140CE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2. Le spese di pubblicità possono essere capitalizzate se:</w:t>
      </w:r>
    </w:p>
    <w:p w14:paraId="66C4E861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>Presentano un durevole effetto di ricordo nel pubblico</w:t>
      </w:r>
    </w:p>
    <w:p w14:paraId="2B13C8E6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 xml:space="preserve">Sono relative a ingenti progetti pubblicitari </w:t>
      </w:r>
    </w:p>
    <w:p w14:paraId="310EFC78" w14:textId="77777777" w:rsidR="00BC56BC" w:rsidRPr="008E3660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sz w:val="22"/>
          <w:szCs w:val="22"/>
          <w:lang w:eastAsia="en-US"/>
        </w:rPr>
        <w:t>Presentano un’utilità specifica per il solo esercizio appena trascorso</w:t>
      </w:r>
    </w:p>
    <w:p w14:paraId="26F84410" w14:textId="77777777" w:rsidR="00BC56BC" w:rsidRPr="0010176A" w:rsidRDefault="00BC56BC" w:rsidP="00BC56BC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10176A">
        <w:rPr>
          <w:rFonts w:ascii="Verdana" w:eastAsia="Calibri" w:hAnsi="Verdana" w:cs="Arial"/>
          <w:b/>
          <w:sz w:val="22"/>
          <w:szCs w:val="22"/>
          <w:lang w:eastAsia="en-US"/>
        </w:rPr>
        <w:t xml:space="preserve">Nessuna delle precedenti </w:t>
      </w:r>
    </w:p>
    <w:p w14:paraId="7A7CA575" w14:textId="77777777" w:rsidR="00BC56BC" w:rsidRPr="008E3660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0E0A2A8" w14:textId="7F41AE6C" w:rsidR="00BC56BC" w:rsidRPr="008E3660" w:rsidRDefault="00BC56BC" w:rsidP="00BC56BC">
      <w:pPr>
        <w:widowControl w:val="0"/>
        <w:spacing w:line="240" w:lineRule="exact"/>
        <w:contextualSpacing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8E3660">
        <w:rPr>
          <w:rFonts w:ascii="Verdana" w:hAnsi="Verdana" w:cs="Arial"/>
          <w:color w:val="000000" w:themeColor="text1"/>
          <w:sz w:val="22"/>
          <w:szCs w:val="22"/>
        </w:rPr>
        <w:t>3. La redazione del bilancio secondo i principi contabili internazionali è obbligatoria per le società che:</w:t>
      </w:r>
    </w:p>
    <w:p w14:paraId="04CCD27D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8E3660">
        <w:rPr>
          <w:rFonts w:ascii="Verdana" w:hAnsi="Verdana" w:cs="Arial"/>
          <w:color w:val="000000" w:themeColor="text1"/>
          <w:sz w:val="22"/>
          <w:szCs w:val="22"/>
        </w:rPr>
        <w:t>superano i limiti di cui all’art. 2435 bis cc</w:t>
      </w:r>
    </w:p>
    <w:p w14:paraId="40B3B584" w14:textId="77777777" w:rsidR="00BC56BC" w:rsidRPr="0010176A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b/>
          <w:color w:val="000000" w:themeColor="text1"/>
          <w:sz w:val="22"/>
          <w:szCs w:val="22"/>
          <w:lang w:eastAsia="en-US"/>
        </w:rPr>
      </w:pPr>
      <w:r w:rsidRPr="0010176A">
        <w:rPr>
          <w:rFonts w:ascii="Verdana" w:eastAsia="Calibri" w:hAnsi="Verdana" w:cs="Arial"/>
          <w:b/>
          <w:color w:val="000000" w:themeColor="text1"/>
          <w:sz w:val="22"/>
          <w:szCs w:val="22"/>
          <w:lang w:eastAsia="en-US"/>
        </w:rPr>
        <w:t>sono quotate</w:t>
      </w:r>
    </w:p>
    <w:p w14:paraId="494753F5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  <w:t>sono controllate da società estere</w:t>
      </w:r>
    </w:p>
    <w:p w14:paraId="506CB106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  <w:t>nessuna delle precedenti è corretta</w:t>
      </w:r>
    </w:p>
    <w:p w14:paraId="74D016E8" w14:textId="77777777" w:rsidR="00BC56BC" w:rsidRPr="008E3660" w:rsidRDefault="00BC56BC" w:rsidP="00BC56BC">
      <w:pPr>
        <w:widowControl w:val="0"/>
        <w:jc w:val="both"/>
        <w:outlineLvl w:val="0"/>
        <w:rPr>
          <w:rFonts w:ascii="Verdana" w:hAnsi="Verdana"/>
          <w:sz w:val="22"/>
          <w:szCs w:val="22"/>
        </w:rPr>
      </w:pPr>
    </w:p>
    <w:p w14:paraId="65927110" w14:textId="77777777" w:rsidR="00BC56BC" w:rsidRPr="008E3660" w:rsidRDefault="00BC56BC" w:rsidP="00BC56BC">
      <w:pPr>
        <w:widowControl w:val="0"/>
        <w:numPr>
          <w:ilvl w:val="0"/>
          <w:numId w:val="12"/>
        </w:numPr>
        <w:spacing w:after="200" w:line="240" w:lineRule="exact"/>
        <w:contextualSpacing/>
        <w:jc w:val="both"/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  <w:t>Un’azienda acquista un’opera d’arte: dove compare in bilancio?</w:t>
      </w:r>
    </w:p>
    <w:p w14:paraId="3E0850D9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8E3660">
        <w:rPr>
          <w:rFonts w:ascii="Verdana" w:hAnsi="Verdana" w:cs="Arial"/>
          <w:color w:val="000000" w:themeColor="text1"/>
          <w:sz w:val="22"/>
          <w:szCs w:val="22"/>
        </w:rPr>
        <w:t>nelle immobilizzazioni immateriali, tra i diritti d’autore;</w:t>
      </w:r>
    </w:p>
    <w:p w14:paraId="60126D19" w14:textId="77777777" w:rsidR="00BC56BC" w:rsidRPr="0010176A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b/>
          <w:color w:val="000000" w:themeColor="text1"/>
          <w:sz w:val="22"/>
          <w:szCs w:val="22"/>
          <w:lang w:eastAsia="en-US"/>
        </w:rPr>
      </w:pPr>
      <w:r w:rsidRPr="0010176A">
        <w:rPr>
          <w:rFonts w:ascii="Verdana" w:hAnsi="Verdana" w:cs="Arial"/>
          <w:b/>
          <w:color w:val="000000" w:themeColor="text1"/>
          <w:sz w:val="22"/>
          <w:szCs w:val="22"/>
        </w:rPr>
        <w:t>nelle immobilizzazioni materiali, tra gli altri beni</w:t>
      </w:r>
      <w:r w:rsidRPr="0010176A">
        <w:rPr>
          <w:rFonts w:ascii="Verdana" w:eastAsia="Calibri" w:hAnsi="Verdana" w:cs="Arial"/>
          <w:b/>
          <w:color w:val="000000" w:themeColor="text1"/>
          <w:sz w:val="22"/>
          <w:szCs w:val="22"/>
          <w:lang w:eastAsia="en-US"/>
        </w:rPr>
        <w:t>;</w:t>
      </w:r>
    </w:p>
    <w:p w14:paraId="3DF030DF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</w:pPr>
      <w:r w:rsidRPr="008E3660">
        <w:rPr>
          <w:rFonts w:ascii="Verdana" w:hAnsi="Verdana" w:cs="Arial"/>
          <w:color w:val="000000" w:themeColor="text1"/>
          <w:sz w:val="22"/>
          <w:szCs w:val="22"/>
        </w:rPr>
        <w:t>nelle immobilizzazioni finanziarie, tra gli altri titoli</w:t>
      </w:r>
      <w:r w:rsidRPr="008E3660"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  <w:t>;</w:t>
      </w:r>
    </w:p>
    <w:p w14:paraId="428FBE38" w14:textId="77777777" w:rsidR="00BC56BC" w:rsidRPr="008E3660" w:rsidRDefault="00BC56BC" w:rsidP="00BC56BC">
      <w:pPr>
        <w:widowControl w:val="0"/>
        <w:numPr>
          <w:ilvl w:val="0"/>
          <w:numId w:val="11"/>
        </w:numPr>
        <w:spacing w:line="240" w:lineRule="exact"/>
        <w:contextualSpacing/>
        <w:jc w:val="both"/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</w:pPr>
      <w:r w:rsidRPr="008E3660">
        <w:rPr>
          <w:rFonts w:ascii="Verdana" w:eastAsia="Calibri" w:hAnsi="Verdana" w:cs="Arial"/>
          <w:color w:val="000000" w:themeColor="text1"/>
          <w:sz w:val="22"/>
          <w:szCs w:val="22"/>
          <w:lang w:eastAsia="en-US"/>
        </w:rPr>
        <w:t>nel patrimonio netto, tra le altre riserve.</w:t>
      </w:r>
    </w:p>
    <w:p w14:paraId="480CFE4C" w14:textId="77777777" w:rsidR="00BC56BC" w:rsidRPr="008E3660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2DE297B" w14:textId="213BD9A5" w:rsidR="00BC56BC" w:rsidRPr="008E3660" w:rsidRDefault="00BC56BC" w:rsidP="005140CE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5. L’iscrizione dell’avviamento nell’attivo di bilancio comporta</w:t>
      </w:r>
    </w:p>
    <w:p w14:paraId="4FEA4307" w14:textId="77777777" w:rsidR="00BC56BC" w:rsidRPr="008E3660" w:rsidRDefault="00BC56BC" w:rsidP="00BC56B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l’impossibilità di distribuire dividendi</w:t>
      </w:r>
    </w:p>
    <w:p w14:paraId="691A3A62" w14:textId="77777777" w:rsidR="00BC56BC" w:rsidRPr="008E3660" w:rsidRDefault="00BC56BC" w:rsidP="00BC56B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la possibilità di distribuire dividendi con il consenso del collegio sindacale</w:t>
      </w:r>
    </w:p>
    <w:p w14:paraId="2E3EAF73" w14:textId="77777777" w:rsidR="00BC56BC" w:rsidRPr="008E3660" w:rsidRDefault="00BC56BC" w:rsidP="00BC56B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la possibilità di distribuire dividendi qualora vi siano riserve disponibili</w:t>
      </w:r>
    </w:p>
    <w:p w14:paraId="35DD8D32" w14:textId="77777777" w:rsidR="00BC56BC" w:rsidRPr="0010176A" w:rsidRDefault="00BC56BC" w:rsidP="00BC56B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10176A">
        <w:rPr>
          <w:rFonts w:ascii="Verdana" w:hAnsi="Verdana" w:cs="Arial"/>
          <w:b/>
          <w:sz w:val="22"/>
          <w:szCs w:val="22"/>
        </w:rPr>
        <w:t>nessun vincolo alla distribuzione dei dividendi</w:t>
      </w:r>
    </w:p>
    <w:p w14:paraId="358480FA" w14:textId="77777777" w:rsidR="00BC56BC" w:rsidRPr="008E3660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58807C1C" w14:textId="3779ED7D" w:rsidR="00BC56BC" w:rsidRPr="008E3660" w:rsidRDefault="00BC56BC" w:rsidP="005140CE">
      <w:pPr>
        <w:spacing w:line="240" w:lineRule="exact"/>
        <w:contextualSpacing/>
        <w:jc w:val="both"/>
        <w:rPr>
          <w:rFonts w:ascii="Verdana" w:hAnsi="Verdana" w:cs="Arial"/>
          <w:sz w:val="22"/>
          <w:szCs w:val="22"/>
        </w:rPr>
      </w:pPr>
      <w:r w:rsidRPr="008E3660">
        <w:rPr>
          <w:rFonts w:ascii="Verdana" w:hAnsi="Verdana" w:cs="Arial"/>
          <w:sz w:val="22"/>
          <w:szCs w:val="22"/>
        </w:rPr>
        <w:t>6. Secondo l'OIC 16, il valore a cui viene riportata in bilancio una immobilizzazione:</w:t>
      </w:r>
    </w:p>
    <w:p w14:paraId="54262679" w14:textId="77777777" w:rsidR="00BC56BC" w:rsidRPr="008E3660" w:rsidRDefault="00BC56BC" w:rsidP="00BC56BC">
      <w:pPr>
        <w:pStyle w:val="Paragrafoelenco"/>
        <w:numPr>
          <w:ilvl w:val="0"/>
          <w:numId w:val="8"/>
        </w:numPr>
        <w:spacing w:after="0" w:line="240" w:lineRule="exact"/>
        <w:ind w:right="-515"/>
        <w:jc w:val="both"/>
        <w:rPr>
          <w:rFonts w:ascii="Verdana" w:eastAsia="Times New Roman" w:hAnsi="Verdana" w:cs="Arial"/>
          <w:lang w:eastAsia="it-IT"/>
        </w:rPr>
      </w:pPr>
      <w:r w:rsidRPr="008E3660">
        <w:rPr>
          <w:rFonts w:ascii="Verdana" w:eastAsia="Times New Roman" w:hAnsi="Verdana" w:cs="Arial"/>
          <w:lang w:eastAsia="it-IT"/>
        </w:rPr>
        <w:t>è sempre rappresentato dal costo di acquisto o di produzione</w:t>
      </w:r>
    </w:p>
    <w:p w14:paraId="569EC3CD" w14:textId="77777777" w:rsidR="00BC56BC" w:rsidRPr="0010176A" w:rsidRDefault="00BC56BC" w:rsidP="00BC56BC">
      <w:pPr>
        <w:pStyle w:val="Paragrafoelenco"/>
        <w:numPr>
          <w:ilvl w:val="0"/>
          <w:numId w:val="8"/>
        </w:numPr>
        <w:spacing w:after="0" w:line="240" w:lineRule="exact"/>
        <w:ind w:right="-515"/>
        <w:jc w:val="both"/>
        <w:rPr>
          <w:rFonts w:ascii="Verdana" w:eastAsia="Times New Roman" w:hAnsi="Verdana" w:cs="Arial"/>
          <w:b/>
          <w:lang w:eastAsia="it-IT"/>
        </w:rPr>
      </w:pPr>
      <w:r w:rsidRPr="0010176A">
        <w:rPr>
          <w:rFonts w:ascii="Verdana" w:eastAsia="Times New Roman" w:hAnsi="Verdana" w:cs="Arial"/>
          <w:b/>
          <w:lang w:eastAsia="it-IT"/>
        </w:rPr>
        <w:t xml:space="preserve">non può eccedere il valore di mercato, se esiste, o in ogni caso il valore </w:t>
      </w:r>
    </w:p>
    <w:p w14:paraId="23CA7321" w14:textId="77777777" w:rsidR="00BC56BC" w:rsidRPr="0010176A" w:rsidRDefault="00BC56BC" w:rsidP="005140CE">
      <w:pPr>
        <w:pStyle w:val="Paragrafoelenco"/>
        <w:spacing w:after="0" w:line="240" w:lineRule="exact"/>
        <w:ind w:right="-515"/>
        <w:jc w:val="both"/>
        <w:rPr>
          <w:rFonts w:ascii="Verdana" w:eastAsia="Times New Roman" w:hAnsi="Verdana" w:cs="Arial"/>
          <w:b/>
          <w:lang w:eastAsia="it-IT"/>
        </w:rPr>
      </w:pPr>
      <w:r w:rsidRPr="0010176A">
        <w:rPr>
          <w:rFonts w:ascii="Verdana" w:eastAsia="Times New Roman" w:hAnsi="Verdana" w:cs="Arial"/>
          <w:b/>
          <w:lang w:eastAsia="it-IT"/>
        </w:rPr>
        <w:t>recuperabile mediante l'uso</w:t>
      </w:r>
    </w:p>
    <w:p w14:paraId="28AF82CB" w14:textId="77777777" w:rsidR="00BC56BC" w:rsidRPr="008E3660" w:rsidRDefault="00BC56BC" w:rsidP="00BC56BC">
      <w:pPr>
        <w:pStyle w:val="Paragrafoelenco"/>
        <w:numPr>
          <w:ilvl w:val="0"/>
          <w:numId w:val="8"/>
        </w:numPr>
        <w:spacing w:after="0" w:line="240" w:lineRule="exact"/>
        <w:ind w:right="-515"/>
        <w:jc w:val="both"/>
        <w:rPr>
          <w:rFonts w:ascii="Verdana" w:eastAsia="Times New Roman" w:hAnsi="Verdana" w:cs="Arial"/>
          <w:lang w:eastAsia="it-IT"/>
        </w:rPr>
      </w:pPr>
      <w:r w:rsidRPr="008E3660">
        <w:rPr>
          <w:rFonts w:ascii="Verdana" w:eastAsia="Times New Roman" w:hAnsi="Verdana" w:cs="Arial"/>
          <w:lang w:eastAsia="it-IT"/>
        </w:rPr>
        <w:t>deve essere sempre formato nello scambio, non potendosi dare stime</w:t>
      </w:r>
    </w:p>
    <w:p w14:paraId="70397C5C" w14:textId="77777777" w:rsidR="00BC56BC" w:rsidRPr="008E3660" w:rsidRDefault="00BC56BC" w:rsidP="00BC56BC">
      <w:pPr>
        <w:pStyle w:val="Paragrafoelenco"/>
        <w:numPr>
          <w:ilvl w:val="0"/>
          <w:numId w:val="8"/>
        </w:numPr>
        <w:spacing w:after="0" w:line="240" w:lineRule="exact"/>
        <w:ind w:right="-515"/>
        <w:jc w:val="both"/>
        <w:rPr>
          <w:rFonts w:ascii="Verdana" w:eastAsia="Times New Roman" w:hAnsi="Verdana" w:cs="Arial"/>
          <w:lang w:eastAsia="it-IT"/>
        </w:rPr>
      </w:pPr>
      <w:r w:rsidRPr="008E3660">
        <w:rPr>
          <w:rFonts w:ascii="Verdana" w:eastAsia="Times New Roman" w:hAnsi="Verdana" w:cs="Arial"/>
          <w:lang w:eastAsia="it-IT"/>
        </w:rPr>
        <w:t>può eccedere il valore recuperabile mediante l’uso ma non il valore di mercato</w:t>
      </w:r>
    </w:p>
    <w:p w14:paraId="4AA502C6" w14:textId="77777777" w:rsidR="00BC56BC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7684E28" w14:textId="77777777" w:rsidR="00BC56BC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78B2169" w14:textId="77777777" w:rsidR="00BC56BC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F8D7A8E" w14:textId="77777777" w:rsidR="00BC56BC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1A38962" w14:textId="77777777" w:rsidR="00BC56BC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60F33B49" w:rsidR="007206A4" w:rsidRDefault="005E20F8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  <w:bookmarkStart w:id="0" w:name="_GoBack"/>
      <w:bookmarkEnd w:id="0"/>
    </w:p>
    <w:p w14:paraId="230EDA9E" w14:textId="77777777" w:rsidR="003113E6" w:rsidRDefault="003113E6" w:rsidP="003113E6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54522EFD" w14:textId="77777777" w:rsidR="004A09E1" w:rsidRDefault="004A09E1" w:rsidP="004A09E1">
      <w:pPr>
        <w:pStyle w:val="Corpotesto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1564F2">
        <w:rPr>
          <w:rFonts w:ascii="Verdana" w:eastAsia="Calibri" w:hAnsi="Verdana"/>
          <w:sz w:val="22"/>
          <w:szCs w:val="22"/>
          <w:lang w:eastAsia="en-US"/>
        </w:rPr>
        <w:t xml:space="preserve">La </w:t>
      </w:r>
      <w:proofErr w:type="spellStart"/>
      <w:r w:rsidRPr="001564F2">
        <w:rPr>
          <w:rFonts w:ascii="Verdana" w:eastAsia="Calibri" w:hAnsi="Verdana"/>
          <w:sz w:val="22"/>
          <w:szCs w:val="22"/>
          <w:lang w:eastAsia="en-US"/>
        </w:rPr>
        <w:t>ALfa</w:t>
      </w:r>
      <w:proofErr w:type="spellEnd"/>
      <w:r w:rsidRPr="001564F2">
        <w:rPr>
          <w:rFonts w:ascii="Verdana" w:eastAsia="Calibri" w:hAnsi="Verdana"/>
          <w:sz w:val="22"/>
          <w:szCs w:val="22"/>
          <w:lang w:eastAsia="en-US"/>
        </w:rPr>
        <w:t xml:space="preserve"> S.p.A. ha acquistato un automezzo strumenta</w:t>
      </w:r>
      <w:r>
        <w:rPr>
          <w:rFonts w:ascii="Verdana" w:eastAsia="Calibri" w:hAnsi="Verdana"/>
          <w:sz w:val="22"/>
          <w:szCs w:val="22"/>
          <w:lang w:eastAsia="en-US"/>
        </w:rPr>
        <w:t>le del costo complessivo di €. 2</w:t>
      </w:r>
      <w:r w:rsidRPr="001564F2">
        <w:rPr>
          <w:rFonts w:ascii="Verdana" w:eastAsia="Calibri" w:hAnsi="Verdana"/>
          <w:sz w:val="22"/>
          <w:szCs w:val="22"/>
          <w:lang w:eastAsia="en-US"/>
        </w:rPr>
        <w:t>00.000. Programma inizialmente un piano di ammortamento della durata di quattro anni (X1-X4), a quote costanti. Al 31/12/X3, prima di computare la quota di ammortamento, sottopone l’automezzo a manutenzioni straordinar</w:t>
      </w:r>
      <w:r>
        <w:rPr>
          <w:rFonts w:ascii="Verdana" w:eastAsia="Calibri" w:hAnsi="Verdana"/>
          <w:sz w:val="22"/>
          <w:szCs w:val="22"/>
          <w:lang w:eastAsia="en-US"/>
        </w:rPr>
        <w:t>ie del costo complessivo di €. 5</w:t>
      </w:r>
      <w:r w:rsidRPr="001564F2">
        <w:rPr>
          <w:rFonts w:ascii="Verdana" w:eastAsia="Calibri" w:hAnsi="Verdana"/>
          <w:sz w:val="22"/>
          <w:szCs w:val="22"/>
          <w:lang w:eastAsia="en-US"/>
        </w:rPr>
        <w:t>0.000, aumentandone la capacità di carico. Riproietta il piano di ammortamento per il biennio X3-X4, mantenendo la medesima durata e il regime a quote costanti. Si proceda a:</w:t>
      </w:r>
    </w:p>
    <w:p w14:paraId="6FE18F8D" w14:textId="77777777" w:rsidR="004A09E1" w:rsidRPr="001564F2" w:rsidRDefault="004A09E1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 w:rsidRPr="001564F2">
        <w:rPr>
          <w:rFonts w:ascii="Verdana" w:eastAsia="Calibri" w:hAnsi="Verdana"/>
          <w:sz w:val="22"/>
          <w:szCs w:val="22"/>
          <w:lang w:eastAsia="en-US"/>
        </w:rPr>
        <w:t>- calcolare le grandezze di bilancio;</w:t>
      </w:r>
    </w:p>
    <w:p w14:paraId="3B4D06CA" w14:textId="77777777" w:rsidR="004A09E1" w:rsidRDefault="004A09E1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 w:rsidRPr="001564F2">
        <w:rPr>
          <w:rFonts w:ascii="Verdana" w:eastAsia="Calibri" w:hAnsi="Verdana"/>
          <w:sz w:val="22"/>
          <w:szCs w:val="22"/>
          <w:lang w:eastAsia="en-US"/>
        </w:rPr>
        <w:t>- evidenziare i riflessi sui bilanci degli esercizi interessati (X1-X4</w:t>
      </w:r>
      <w:r>
        <w:rPr>
          <w:rFonts w:ascii="Verdana" w:eastAsia="Calibri" w:hAnsi="Verdana"/>
          <w:sz w:val="22"/>
          <w:szCs w:val="22"/>
          <w:lang w:eastAsia="en-US"/>
        </w:rPr>
        <w:t>)</w:t>
      </w:r>
      <w:r w:rsidRPr="001564F2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150A42E2" w14:textId="54CF3382" w:rsidR="004A09E1" w:rsidRDefault="004A09E1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</w:p>
    <w:p w14:paraId="2BF7F4DE" w14:textId="2500D2B1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Calcoli</w:t>
      </w:r>
    </w:p>
    <w:p w14:paraId="2B9F8FC4" w14:textId="77777777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</w:p>
    <w:p w14:paraId="72521E76" w14:textId="339DD23B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 w:rsidRPr="00EB20D7">
        <w:rPr>
          <w:rFonts w:eastAsia="Calibri"/>
          <w:noProof/>
        </w:rPr>
        <w:drawing>
          <wp:inline distT="0" distB="0" distL="0" distR="0" wp14:anchorId="36C7ACB0" wp14:editId="07C21073">
            <wp:extent cx="5530850" cy="2216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E312" w14:textId="78ED42B8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</w:p>
    <w:p w14:paraId="2B5BAC1B" w14:textId="2CB6A6D2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Bilancio</w:t>
      </w:r>
    </w:p>
    <w:p w14:paraId="762A9BDB" w14:textId="07028C42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</w:p>
    <w:p w14:paraId="07CB6751" w14:textId="48025FDE" w:rsidR="00EB20D7" w:rsidRDefault="00EB20D7" w:rsidP="004A09E1">
      <w:pPr>
        <w:pStyle w:val="Corpotesto"/>
        <w:spacing w:before="0"/>
        <w:rPr>
          <w:rFonts w:ascii="Verdana" w:eastAsia="Calibri" w:hAnsi="Verdana"/>
          <w:sz w:val="22"/>
          <w:szCs w:val="22"/>
          <w:lang w:eastAsia="en-US"/>
        </w:rPr>
      </w:pPr>
      <w:r w:rsidRPr="00EB20D7">
        <w:rPr>
          <w:rFonts w:eastAsia="Calibri"/>
          <w:noProof/>
        </w:rPr>
        <w:drawing>
          <wp:inline distT="0" distB="0" distL="0" distR="0" wp14:anchorId="419720D8" wp14:editId="77AD221B">
            <wp:extent cx="5530850" cy="2044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D7" w:rsidSect="000D1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2712" w14:textId="77777777" w:rsidR="00A675D7" w:rsidRDefault="00A675D7">
      <w:r>
        <w:separator/>
      </w:r>
    </w:p>
  </w:endnote>
  <w:endnote w:type="continuationSeparator" w:id="0">
    <w:p w14:paraId="62CE5564" w14:textId="77777777" w:rsidR="00A675D7" w:rsidRDefault="00A6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2E100" w14:textId="77777777" w:rsidR="003B3AB5" w:rsidRDefault="003B3A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746DCF13" w:rsidR="000E36D0" w:rsidRDefault="000E36D0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5E20F8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0E36D0" w:rsidRDefault="000E36D0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9BF4" w14:textId="77777777" w:rsidR="003B3AB5" w:rsidRDefault="003B3A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732A8" w14:textId="77777777" w:rsidR="00A675D7" w:rsidRDefault="00A675D7">
      <w:r>
        <w:separator/>
      </w:r>
    </w:p>
  </w:footnote>
  <w:footnote w:type="continuationSeparator" w:id="0">
    <w:p w14:paraId="3AFAD612" w14:textId="77777777" w:rsidR="00A675D7" w:rsidRDefault="00A6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F839" w14:textId="77777777" w:rsidR="003B3AB5" w:rsidRDefault="003B3A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0E36D0" w:rsidRPr="00862D0F" w:rsidRDefault="000E36D0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0B49" w14:textId="77777777" w:rsidR="003B3AB5" w:rsidRDefault="003B3A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C149C"/>
    <w:rsid w:val="000D1B75"/>
    <w:rsid w:val="000E36D0"/>
    <w:rsid w:val="0010176A"/>
    <w:rsid w:val="00133666"/>
    <w:rsid w:val="00157424"/>
    <w:rsid w:val="001830BA"/>
    <w:rsid w:val="002145AA"/>
    <w:rsid w:val="002416FB"/>
    <w:rsid w:val="0028266E"/>
    <w:rsid w:val="00297C9B"/>
    <w:rsid w:val="002D66A0"/>
    <w:rsid w:val="003113E6"/>
    <w:rsid w:val="003149CC"/>
    <w:rsid w:val="0035063A"/>
    <w:rsid w:val="00354C2F"/>
    <w:rsid w:val="00365CF6"/>
    <w:rsid w:val="00397C5C"/>
    <w:rsid w:val="003B25DD"/>
    <w:rsid w:val="003B3AB5"/>
    <w:rsid w:val="003E5D9C"/>
    <w:rsid w:val="003E5EE7"/>
    <w:rsid w:val="00463E9A"/>
    <w:rsid w:val="00483B04"/>
    <w:rsid w:val="00487662"/>
    <w:rsid w:val="00495736"/>
    <w:rsid w:val="00497E91"/>
    <w:rsid w:val="004A09E1"/>
    <w:rsid w:val="004B238D"/>
    <w:rsid w:val="004E3B45"/>
    <w:rsid w:val="005123C1"/>
    <w:rsid w:val="00515070"/>
    <w:rsid w:val="00530CBC"/>
    <w:rsid w:val="005622F2"/>
    <w:rsid w:val="00595DC1"/>
    <w:rsid w:val="005C06E5"/>
    <w:rsid w:val="005E20F8"/>
    <w:rsid w:val="005E2355"/>
    <w:rsid w:val="005E50A4"/>
    <w:rsid w:val="006244AC"/>
    <w:rsid w:val="006465F8"/>
    <w:rsid w:val="00686C1B"/>
    <w:rsid w:val="006C3B3A"/>
    <w:rsid w:val="006D5AE4"/>
    <w:rsid w:val="006E73A2"/>
    <w:rsid w:val="007206A4"/>
    <w:rsid w:val="00724FAB"/>
    <w:rsid w:val="0073048B"/>
    <w:rsid w:val="00737316"/>
    <w:rsid w:val="00750D0F"/>
    <w:rsid w:val="0079109A"/>
    <w:rsid w:val="007A111B"/>
    <w:rsid w:val="007D062C"/>
    <w:rsid w:val="007D3CA1"/>
    <w:rsid w:val="0080678B"/>
    <w:rsid w:val="0082235B"/>
    <w:rsid w:val="00862D0F"/>
    <w:rsid w:val="008703BE"/>
    <w:rsid w:val="0088233B"/>
    <w:rsid w:val="008E3660"/>
    <w:rsid w:val="00922A4D"/>
    <w:rsid w:val="00931AF8"/>
    <w:rsid w:val="009377FA"/>
    <w:rsid w:val="00937BA4"/>
    <w:rsid w:val="009827EE"/>
    <w:rsid w:val="00983C9C"/>
    <w:rsid w:val="009D52AE"/>
    <w:rsid w:val="00A33853"/>
    <w:rsid w:val="00A54099"/>
    <w:rsid w:val="00A675D7"/>
    <w:rsid w:val="00AC1E86"/>
    <w:rsid w:val="00AF645D"/>
    <w:rsid w:val="00B11168"/>
    <w:rsid w:val="00B475FD"/>
    <w:rsid w:val="00B62755"/>
    <w:rsid w:val="00B762B4"/>
    <w:rsid w:val="00B9540F"/>
    <w:rsid w:val="00B96810"/>
    <w:rsid w:val="00BC56BC"/>
    <w:rsid w:val="00C40C29"/>
    <w:rsid w:val="00C57F3C"/>
    <w:rsid w:val="00C8339B"/>
    <w:rsid w:val="00D26792"/>
    <w:rsid w:val="00DA1FD8"/>
    <w:rsid w:val="00DD14A4"/>
    <w:rsid w:val="00E22BFA"/>
    <w:rsid w:val="00E27E16"/>
    <w:rsid w:val="00E36F73"/>
    <w:rsid w:val="00E9096D"/>
    <w:rsid w:val="00EB20D7"/>
    <w:rsid w:val="00EB7244"/>
    <w:rsid w:val="00F07A46"/>
    <w:rsid w:val="00F2722C"/>
    <w:rsid w:val="00F62ECA"/>
    <w:rsid w:val="00F656A1"/>
    <w:rsid w:val="00FB1DEC"/>
    <w:rsid w:val="00FD1116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0348E7B1-8A15-4D1C-91EE-78B7400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9D45-DC55-499F-A051-1480FE9F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8</cp:revision>
  <cp:lastPrinted>2016-09-09T09:12:00Z</cp:lastPrinted>
  <dcterms:created xsi:type="dcterms:W3CDTF">2017-10-26T09:32:00Z</dcterms:created>
  <dcterms:modified xsi:type="dcterms:W3CDTF">2020-09-28T05:17:00Z</dcterms:modified>
</cp:coreProperties>
</file>