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4FF27F6F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Corso di Bilancio 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0C602855" w14:textId="6DA43D03" w:rsidR="006C3B3A" w:rsidRPr="0099353A" w:rsidRDefault="005E3DF5" w:rsidP="00E22BF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1. Minori sono i risconti passivi</w:t>
      </w:r>
    </w:p>
    <w:p w14:paraId="1F6DC6B6" w14:textId="2DAA53DA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 xml:space="preserve">maggiore è l’insieme dei costi </w:t>
      </w:r>
      <w:r w:rsidR="00486680">
        <w:rPr>
          <w:rFonts w:ascii="Verdana" w:hAnsi="Verdana" w:cs="Arial"/>
        </w:rPr>
        <w:t>di esercizio</w:t>
      </w:r>
    </w:p>
    <w:p w14:paraId="516CF72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minore è l’insieme dei ricavi di esercizio </w:t>
      </w:r>
    </w:p>
    <w:p w14:paraId="5C5368F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minore è l’insieme dei costi di esercizio  </w:t>
      </w:r>
    </w:p>
    <w:p w14:paraId="06EFA47B" w14:textId="77777777" w:rsidR="00977FAA" w:rsidRPr="00EF7F46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EF7F46">
        <w:rPr>
          <w:rFonts w:ascii="Verdana" w:hAnsi="Verdana" w:cs="Arial"/>
          <w:b/>
        </w:rPr>
        <w:t>maggiore è l’insieme dei ricavi di esercizio  </w:t>
      </w:r>
    </w:p>
    <w:p w14:paraId="3285ABBF" w14:textId="77777777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4D1A868B" w14:textId="77777777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2. Le norme civilistiche sulle valutazioni devono essere applicate: </w:t>
      </w:r>
    </w:p>
    <w:p w14:paraId="0DA85944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alle sole società di capitale </w:t>
      </w:r>
    </w:p>
    <w:p w14:paraId="0E754638" w14:textId="77777777" w:rsidR="00977FAA" w:rsidRPr="00EF7F46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EF7F46">
        <w:rPr>
          <w:rFonts w:ascii="Verdana" w:hAnsi="Verdana" w:cs="Arial"/>
          <w:b/>
        </w:rPr>
        <w:t>alle società di capitale e alle società di persone in quanto applicabili </w:t>
      </w:r>
    </w:p>
    <w:p w14:paraId="441394E1" w14:textId="0ACC7799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 xml:space="preserve">alle società di capitale e </w:t>
      </w:r>
      <w:r w:rsidR="0094004B">
        <w:rPr>
          <w:rFonts w:ascii="Verdana" w:hAnsi="Verdana" w:cs="Arial"/>
        </w:rPr>
        <w:t>agli enti non profit</w:t>
      </w:r>
      <w:r w:rsidRPr="0099353A">
        <w:rPr>
          <w:rFonts w:ascii="Verdana" w:hAnsi="Verdana" w:cs="Arial"/>
        </w:rPr>
        <w:t xml:space="preserve"> in quanto applicabili </w:t>
      </w:r>
    </w:p>
    <w:p w14:paraId="3E4360F8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nessuna delle precedenti risposte è corretta  </w:t>
      </w:r>
    </w:p>
    <w:p w14:paraId="39EBCCC8" w14:textId="77777777" w:rsidR="00977FAA" w:rsidRPr="0099353A" w:rsidRDefault="00977FAA" w:rsidP="00977FAA"/>
    <w:p w14:paraId="261BE176" w14:textId="77777777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3. La differenza tra valore e costi della produzione rappresenta:</w:t>
      </w:r>
    </w:p>
    <w:p w14:paraId="16A52650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 xml:space="preserve">Il risultato economico della gestione caratteristica </w:t>
      </w:r>
    </w:p>
    <w:p w14:paraId="58BB989D" w14:textId="016F6FA3" w:rsidR="00977FAA" w:rsidRPr="00EF7F46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EF7F46">
        <w:rPr>
          <w:rFonts w:ascii="Verdana" w:hAnsi="Verdana" w:cs="Arial"/>
          <w:b/>
        </w:rPr>
        <w:t>Il risultato economico</w:t>
      </w:r>
      <w:r w:rsidR="006C01F4" w:rsidRPr="00EF7F46">
        <w:rPr>
          <w:rFonts w:ascii="Verdana" w:hAnsi="Verdana" w:cs="Arial"/>
          <w:b/>
        </w:rPr>
        <w:t xml:space="preserve"> della gestione caratteristica,</w:t>
      </w:r>
      <w:r w:rsidRPr="00EF7F46">
        <w:rPr>
          <w:rFonts w:ascii="Verdana" w:hAnsi="Verdana" w:cs="Arial"/>
          <w:b/>
        </w:rPr>
        <w:t xml:space="preserve"> della gestione accessoria e straordinaria</w:t>
      </w:r>
    </w:p>
    <w:p w14:paraId="2FDA98C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risultato economico della gestione caratteristica e della gestione finanziaria</w:t>
      </w:r>
    </w:p>
    <w:p w14:paraId="7024BB2C" w14:textId="269D4C40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risultato economico della gestione caratterist</w:t>
      </w:r>
      <w:r w:rsidR="006C01F4" w:rsidRPr="0099353A">
        <w:rPr>
          <w:rFonts w:ascii="Verdana" w:hAnsi="Verdana" w:cs="Arial"/>
        </w:rPr>
        <w:t>ica e</w:t>
      </w:r>
      <w:r w:rsidRPr="0099353A">
        <w:rPr>
          <w:rFonts w:ascii="Verdana" w:hAnsi="Verdana" w:cs="Arial"/>
        </w:rPr>
        <w:t xml:space="preserve"> della gestione accessoria </w:t>
      </w:r>
    </w:p>
    <w:p w14:paraId="4C2D8ADC" w14:textId="77777777" w:rsidR="00977FAA" w:rsidRPr="0099353A" w:rsidRDefault="00977FAA" w:rsidP="00977FAA"/>
    <w:p w14:paraId="5A45ABBC" w14:textId="70F1CE89" w:rsidR="00D2482B" w:rsidRPr="0099353A" w:rsidRDefault="00D2482B" w:rsidP="00D2482B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 xml:space="preserve">4. Secondo l’OIC 16, i costi di manutenzione straordinaria </w:t>
      </w:r>
      <w:r w:rsidR="00EF7F46">
        <w:rPr>
          <w:rFonts w:ascii="Verdana" w:hAnsi="Verdana" w:cs="Arial"/>
          <w:sz w:val="22"/>
          <w:szCs w:val="22"/>
        </w:rPr>
        <w:t xml:space="preserve">di un impianto di proprietà </w:t>
      </w:r>
      <w:r w:rsidRPr="0099353A">
        <w:rPr>
          <w:rFonts w:ascii="Verdana" w:hAnsi="Verdana" w:cs="Arial"/>
          <w:sz w:val="22"/>
          <w:szCs w:val="22"/>
        </w:rPr>
        <w:t xml:space="preserve">sono </w:t>
      </w:r>
    </w:p>
    <w:p w14:paraId="3DDA2044" w14:textId="63374E9F" w:rsidR="00D2482B" w:rsidRPr="00F62EF4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F62EF4">
        <w:rPr>
          <w:rFonts w:ascii="Verdana" w:hAnsi="Verdana" w:cs="Arial"/>
          <w:b/>
        </w:rPr>
        <w:t>capitalizzati nel valore dell’impianto a cui si riferiscono e ammortizzati congiuntamente ad esso  </w:t>
      </w:r>
    </w:p>
    <w:p w14:paraId="7414A9CA" w14:textId="5BD01E46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capitalizzati e riepilogati nella voce B.I.7) dell’attivo dello stato patrimoniale civilistico e ammortizzati disgiuntamente  </w:t>
      </w:r>
    </w:p>
    <w:p w14:paraId="57C2A976" w14:textId="5A264E93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capitalizzati nel valore dell’impianto e ammortizzati disgiuntamente, in ragione della durata dell’utilità produttiva resa dalla manutenzione stessa  </w:t>
      </w:r>
    </w:p>
    <w:p w14:paraId="61EBF01A" w14:textId="0AA153DE" w:rsidR="00D2482B" w:rsidRPr="0099353A" w:rsidRDefault="00D2482B" w:rsidP="00D2482B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imputati a conto economico nella voce B.7)  </w:t>
      </w:r>
    </w:p>
    <w:p w14:paraId="25050381" w14:textId="77777777" w:rsidR="00977FAA" w:rsidRPr="0099353A" w:rsidRDefault="00977FAA" w:rsidP="00977FAA"/>
    <w:p w14:paraId="4C642D93" w14:textId="7C549BAD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5. Una società a fronte dell’acquisto di un’immobilizzazione riceve uno specifico contributo</w:t>
      </w:r>
      <w:r w:rsidR="0094004B">
        <w:rPr>
          <w:rFonts w:ascii="Verdana" w:hAnsi="Verdana" w:cs="Arial"/>
          <w:sz w:val="22"/>
          <w:szCs w:val="22"/>
        </w:rPr>
        <w:t>. Q</w:t>
      </w:r>
      <w:r w:rsidRPr="0099353A">
        <w:rPr>
          <w:rFonts w:ascii="Verdana" w:hAnsi="Verdana" w:cs="Arial"/>
          <w:sz w:val="22"/>
          <w:szCs w:val="22"/>
        </w:rPr>
        <w:t>uesta dovrà rilevare:  </w:t>
      </w:r>
    </w:p>
    <w:p w14:paraId="3A3545B5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 w:hint="eastAsia"/>
        </w:rPr>
        <w:t> </w:t>
      </w:r>
      <w:r w:rsidRPr="0099353A">
        <w:rPr>
          <w:rFonts w:ascii="Verdana" w:hAnsi="Verdana" w:cs="Arial"/>
        </w:rPr>
        <w:t>il costo di acquisto al netto del contributo e procedere con l’ammortamento  </w:t>
      </w:r>
    </w:p>
    <w:p w14:paraId="28BFFA69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il costo di acquisto ed iscrivere come ricavo pluriennale il contributo e procedere  con l’ammortamento e riscontando per competenza il ricavo pluriennale  </w:t>
      </w:r>
    </w:p>
    <w:p w14:paraId="67F656D3" w14:textId="77777777" w:rsidR="00977FAA" w:rsidRPr="00AF7EB0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AF7EB0">
        <w:rPr>
          <w:rFonts w:ascii="Verdana" w:hAnsi="Verdana" w:cs="Arial" w:hint="eastAsia"/>
          <w:b/>
        </w:rPr>
        <w:t> </w:t>
      </w:r>
      <w:r w:rsidRPr="00AF7EB0">
        <w:rPr>
          <w:rFonts w:ascii="Verdana" w:hAnsi="Verdana" w:cs="Arial"/>
          <w:b/>
        </w:rPr>
        <w:t>entrambe le precedenti procedure sono corrette  </w:t>
      </w:r>
    </w:p>
    <w:p w14:paraId="706DBDD5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entrambe le precedenti procedure non sono corrette  </w:t>
      </w:r>
    </w:p>
    <w:p w14:paraId="3D1884C6" w14:textId="77777777" w:rsidR="00977FAA" w:rsidRPr="0099353A" w:rsidRDefault="00977FAA" w:rsidP="00977FAA"/>
    <w:p w14:paraId="70AA6516" w14:textId="6D2E31E0" w:rsidR="00977FAA" w:rsidRPr="0099353A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9353A">
        <w:rPr>
          <w:rFonts w:ascii="Verdana" w:hAnsi="Verdana" w:cs="Arial"/>
          <w:sz w:val="22"/>
          <w:szCs w:val="22"/>
        </w:rPr>
        <w:t>6. Quali dei seguenti fenomeni norm</w:t>
      </w:r>
      <w:r w:rsidR="006C01F4" w:rsidRPr="0099353A">
        <w:rPr>
          <w:rFonts w:ascii="Verdana" w:hAnsi="Verdana" w:cs="Arial"/>
          <w:sz w:val="22"/>
          <w:szCs w:val="22"/>
        </w:rPr>
        <w:t>almente genera un rateo passivo</w:t>
      </w:r>
      <w:r w:rsidRPr="0099353A">
        <w:rPr>
          <w:rFonts w:ascii="Verdana" w:hAnsi="Verdana" w:cs="Arial"/>
          <w:sz w:val="22"/>
          <w:szCs w:val="22"/>
        </w:rPr>
        <w:t xml:space="preserve">: </w:t>
      </w:r>
    </w:p>
    <w:p w14:paraId="53F4EFEE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interessi su crediti per finanziamenti concessi </w:t>
      </w:r>
    </w:p>
    <w:p w14:paraId="76A56FE0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fitto passivo pagato anticipatamente  </w:t>
      </w:r>
    </w:p>
    <w:p w14:paraId="43C1CC3A" w14:textId="77777777" w:rsidR="00977FAA" w:rsidRPr="00AF7EB0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b/>
        </w:rPr>
      </w:pPr>
      <w:r w:rsidRPr="00AF7EB0">
        <w:rPr>
          <w:rFonts w:ascii="Verdana" w:hAnsi="Verdana" w:cs="Arial"/>
          <w:b/>
        </w:rPr>
        <w:t xml:space="preserve">fitto passivo da pagarsi posticipatamente </w:t>
      </w:r>
    </w:p>
    <w:p w14:paraId="7CC49D9D" w14:textId="77777777" w:rsidR="00977FAA" w:rsidRPr="0099353A" w:rsidRDefault="00977FAA" w:rsidP="00977FAA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99353A">
        <w:rPr>
          <w:rFonts w:ascii="Verdana" w:hAnsi="Verdana" w:cs="Arial"/>
        </w:rPr>
        <w:t>locazioni attive riscosse posticipatamente  </w:t>
      </w:r>
    </w:p>
    <w:p w14:paraId="1DDF9A5B" w14:textId="77777777" w:rsidR="00977FAA" w:rsidRPr="0099353A" w:rsidRDefault="00977FAA" w:rsidP="00977FAA"/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11E2CBAD" w:rsidR="007206A4" w:rsidRDefault="006C574C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ESERCIZIO 2</w:t>
      </w:r>
    </w:p>
    <w:p w14:paraId="5AB3C0A4" w14:textId="77777777" w:rsidR="002B1C25" w:rsidRDefault="003113E6" w:rsidP="002B1C25">
      <w:pPr>
        <w:spacing w:line="360" w:lineRule="auto"/>
        <w:jc w:val="both"/>
        <w:rPr>
          <w:rFonts w:ascii="Verdana" w:hAnsi="Verdana"/>
          <w:sz w:val="22"/>
        </w:rPr>
      </w:pPr>
      <w:r w:rsidRPr="006316B2">
        <w:rPr>
          <w:rFonts w:ascii="Verdana" w:hAnsi="Verdana"/>
          <w:sz w:val="22"/>
        </w:rPr>
        <w:t>Si richiede di rappresentare gli effetti delle seguenti oper</w:t>
      </w:r>
      <w:r>
        <w:rPr>
          <w:rFonts w:ascii="Verdana" w:hAnsi="Verdana"/>
          <w:sz w:val="22"/>
        </w:rPr>
        <w:t>azioni nei bilanci interessati:</w:t>
      </w:r>
    </w:p>
    <w:p w14:paraId="5C6565BF" w14:textId="77777777" w:rsidR="004B5A6B" w:rsidRDefault="00EC4BD8" w:rsidP="002B1C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6D0168">
        <w:rPr>
          <w:rFonts w:ascii="Verdana" w:hAnsi="Verdana" w:cs="Arial"/>
          <w:sz w:val="22"/>
          <w:szCs w:val="22"/>
        </w:rPr>
        <w:t xml:space="preserve">La Alfa </w:t>
      </w:r>
      <w:proofErr w:type="spellStart"/>
      <w:r w:rsidRPr="006D0168">
        <w:rPr>
          <w:rFonts w:ascii="Verdana" w:hAnsi="Verdana" w:cs="Arial"/>
          <w:sz w:val="22"/>
          <w:szCs w:val="22"/>
        </w:rPr>
        <w:t>S.p.A</w:t>
      </w:r>
      <w:proofErr w:type="spellEnd"/>
      <w:r w:rsidRPr="006D0168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acquista una partecipazione del 70% nella società Beta S.p.A. in data 31/12/X1 pagandola </w:t>
      </w:r>
      <w:r w:rsidR="004B5A6B">
        <w:rPr>
          <w:rFonts w:ascii="Verdana" w:hAnsi="Verdana" w:cs="Arial"/>
          <w:sz w:val="22"/>
          <w:szCs w:val="22"/>
        </w:rPr>
        <w:t>140</w:t>
      </w:r>
      <w:r>
        <w:rPr>
          <w:rFonts w:ascii="Verdana" w:hAnsi="Verdana" w:cs="Arial"/>
          <w:sz w:val="22"/>
          <w:szCs w:val="22"/>
        </w:rPr>
        <w:t xml:space="preserve">.000 euro. </w:t>
      </w:r>
      <w:r w:rsidR="004B5A6B">
        <w:rPr>
          <w:rFonts w:ascii="Verdana" w:hAnsi="Verdana" w:cs="Arial"/>
          <w:sz w:val="22"/>
          <w:szCs w:val="22"/>
        </w:rPr>
        <w:t>Alla stessa data i</w:t>
      </w:r>
      <w:r>
        <w:rPr>
          <w:rFonts w:ascii="Verdana" w:hAnsi="Verdana" w:cs="Arial"/>
          <w:sz w:val="22"/>
          <w:szCs w:val="22"/>
        </w:rPr>
        <w:t>l bilancio della società Beta presenta un patrimonio netto di 200.000 euro. Gli amministratori, decidendo di valutare la partecipazione con il metodo de</w:t>
      </w:r>
      <w:r w:rsidR="004B5A6B">
        <w:rPr>
          <w:rFonts w:ascii="Verdana" w:hAnsi="Verdana" w:cs="Arial"/>
          <w:sz w:val="22"/>
          <w:szCs w:val="22"/>
        </w:rPr>
        <w:t>l patrimonio netto.</w:t>
      </w:r>
    </w:p>
    <w:p w14:paraId="7864D109" w14:textId="77777777" w:rsidR="004B5A6B" w:rsidRDefault="004B5A6B" w:rsidP="002B1C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Al 31/12/X2 Beta S.p.A. consegue un utile di 10.000 euro. </w:t>
      </w:r>
    </w:p>
    <w:p w14:paraId="3A6632B9" w14:textId="7B888325" w:rsidR="00EC4BD8" w:rsidRDefault="00EC4BD8" w:rsidP="002B1C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Si riporti </w:t>
      </w:r>
      <w:r w:rsidR="004B5A6B">
        <w:rPr>
          <w:rFonts w:ascii="Verdana" w:hAnsi="Verdana" w:cs="Arial"/>
          <w:sz w:val="22"/>
          <w:szCs w:val="22"/>
        </w:rPr>
        <w:t>il valore e gli effetti che la partecipazione in Beta S.p.A. ha sul bilancio di Alfa al 31/12/X1 e 31/12/X2.</w:t>
      </w:r>
    </w:p>
    <w:p w14:paraId="3F1C2EC8" w14:textId="4CF98205" w:rsidR="006C574C" w:rsidRDefault="006C574C" w:rsidP="002B1C2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1AFDDB00" w14:textId="40BCF40D" w:rsidR="006C574C" w:rsidRDefault="006C574C" w:rsidP="002B1C25">
      <w:pPr>
        <w:spacing w:line="360" w:lineRule="auto"/>
        <w:jc w:val="both"/>
        <w:rPr>
          <w:rFonts w:ascii="Verdana" w:hAnsi="Verdana"/>
          <w:sz w:val="22"/>
        </w:rPr>
      </w:pPr>
      <w:r w:rsidRPr="006C574C">
        <w:rPr>
          <w:noProof/>
        </w:rPr>
        <w:drawing>
          <wp:inline distT="0" distB="0" distL="0" distR="0" wp14:anchorId="5FD1A00E" wp14:editId="275645D2">
            <wp:extent cx="4394200" cy="9398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7270" w14:textId="512ADD09" w:rsidR="006C574C" w:rsidRDefault="006C574C" w:rsidP="002B1C25">
      <w:pPr>
        <w:spacing w:line="360" w:lineRule="auto"/>
        <w:jc w:val="both"/>
        <w:rPr>
          <w:rFonts w:ascii="Verdana" w:hAnsi="Verdana"/>
          <w:sz w:val="22"/>
        </w:rPr>
      </w:pPr>
    </w:p>
    <w:bookmarkStart w:id="0" w:name="_GoBack"/>
    <w:p w14:paraId="746E712B" w14:textId="3ED5C582" w:rsidR="006C574C" w:rsidRPr="002B1C25" w:rsidRDefault="00681EAC" w:rsidP="006C574C">
      <w:pPr>
        <w:spacing w:line="360" w:lineRule="auto"/>
        <w:jc w:val="center"/>
        <w:rPr>
          <w:rFonts w:ascii="Verdana" w:hAnsi="Verdana"/>
          <w:sz w:val="22"/>
        </w:rPr>
      </w:pPr>
      <w:r>
        <w:rPr>
          <w:noProof/>
        </w:rPr>
        <w:object w:dxaOrig="3970" w:dyaOrig="4160" w14:anchorId="2A06D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35pt;height:208.05pt" o:ole="">
            <v:imagedata r:id="rId9" o:title=""/>
          </v:shape>
          <o:OLEObject Type="Embed" ProgID="PBrush" ShapeID="_x0000_i1025" DrawAspect="Content" ObjectID="_1664986281" r:id="rId10"/>
        </w:object>
      </w:r>
      <w:bookmarkEnd w:id="0"/>
    </w:p>
    <w:sectPr w:rsidR="006C574C" w:rsidRPr="002B1C25" w:rsidSect="000D1B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F3E9F" w14:textId="77777777" w:rsidR="00302E85" w:rsidRDefault="00302E85">
      <w:r>
        <w:separator/>
      </w:r>
    </w:p>
  </w:endnote>
  <w:endnote w:type="continuationSeparator" w:id="0">
    <w:p w14:paraId="420E2657" w14:textId="77777777" w:rsidR="00302E85" w:rsidRDefault="0030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B1787" w14:textId="77777777" w:rsidR="008F5A88" w:rsidRDefault="008F5A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06379119" w:rsidR="004B5A6B" w:rsidRDefault="004B5A6B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681EAC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4B5A6B" w:rsidRDefault="004B5A6B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3ACD" w14:textId="77777777" w:rsidR="008F5A88" w:rsidRDefault="008F5A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6D146" w14:textId="77777777" w:rsidR="00302E85" w:rsidRDefault="00302E85">
      <w:r>
        <w:separator/>
      </w:r>
    </w:p>
  </w:footnote>
  <w:footnote w:type="continuationSeparator" w:id="0">
    <w:p w14:paraId="46E3591E" w14:textId="77777777" w:rsidR="00302E85" w:rsidRDefault="0030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243F0" w14:textId="77777777" w:rsidR="008F5A88" w:rsidRDefault="008F5A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4B5A6B" w:rsidRPr="00862D0F" w:rsidRDefault="004B5A6B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174E2" w14:textId="77777777" w:rsidR="008F5A88" w:rsidRDefault="008F5A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5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D1B75"/>
    <w:rsid w:val="000E36D0"/>
    <w:rsid w:val="001210F3"/>
    <w:rsid w:val="00133666"/>
    <w:rsid w:val="00157424"/>
    <w:rsid w:val="001830BA"/>
    <w:rsid w:val="001E7D09"/>
    <w:rsid w:val="002145AA"/>
    <w:rsid w:val="002416FB"/>
    <w:rsid w:val="0028266E"/>
    <w:rsid w:val="00297C9B"/>
    <w:rsid w:val="002B1C25"/>
    <w:rsid w:val="00302E85"/>
    <w:rsid w:val="003113E6"/>
    <w:rsid w:val="003149CC"/>
    <w:rsid w:val="003268E9"/>
    <w:rsid w:val="0035063A"/>
    <w:rsid w:val="00354C2F"/>
    <w:rsid w:val="00360684"/>
    <w:rsid w:val="00386F22"/>
    <w:rsid w:val="00397C5C"/>
    <w:rsid w:val="003E5D9C"/>
    <w:rsid w:val="003E5EE7"/>
    <w:rsid w:val="00433CFC"/>
    <w:rsid w:val="00483B04"/>
    <w:rsid w:val="00486680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30CBC"/>
    <w:rsid w:val="005622F2"/>
    <w:rsid w:val="00595DC1"/>
    <w:rsid w:val="005B2A7C"/>
    <w:rsid w:val="005C06E5"/>
    <w:rsid w:val="005E2355"/>
    <w:rsid w:val="005E3DF5"/>
    <w:rsid w:val="005E50A4"/>
    <w:rsid w:val="006244AC"/>
    <w:rsid w:val="006465F8"/>
    <w:rsid w:val="00681EAC"/>
    <w:rsid w:val="00685FD1"/>
    <w:rsid w:val="00686C1B"/>
    <w:rsid w:val="006C01F4"/>
    <w:rsid w:val="006C3B3A"/>
    <w:rsid w:val="006C574C"/>
    <w:rsid w:val="006D5AE4"/>
    <w:rsid w:val="006E3CF1"/>
    <w:rsid w:val="006F4125"/>
    <w:rsid w:val="00716E97"/>
    <w:rsid w:val="007206A4"/>
    <w:rsid w:val="00724FAB"/>
    <w:rsid w:val="0073048B"/>
    <w:rsid w:val="00737316"/>
    <w:rsid w:val="0079109A"/>
    <w:rsid w:val="007A111B"/>
    <w:rsid w:val="007A6608"/>
    <w:rsid w:val="007D062C"/>
    <w:rsid w:val="007D3CA1"/>
    <w:rsid w:val="0080678B"/>
    <w:rsid w:val="0082235B"/>
    <w:rsid w:val="00862D0F"/>
    <w:rsid w:val="00867568"/>
    <w:rsid w:val="008703BE"/>
    <w:rsid w:val="0088233B"/>
    <w:rsid w:val="008F5A88"/>
    <w:rsid w:val="00902C6D"/>
    <w:rsid w:val="009139F0"/>
    <w:rsid w:val="00922A4D"/>
    <w:rsid w:val="00931518"/>
    <w:rsid w:val="009377FA"/>
    <w:rsid w:val="00937BA4"/>
    <w:rsid w:val="0094004B"/>
    <w:rsid w:val="00977FAA"/>
    <w:rsid w:val="009827EE"/>
    <w:rsid w:val="00983C9C"/>
    <w:rsid w:val="0099353A"/>
    <w:rsid w:val="009D52AE"/>
    <w:rsid w:val="009F2DA3"/>
    <w:rsid w:val="00A33853"/>
    <w:rsid w:val="00A54099"/>
    <w:rsid w:val="00A56AFF"/>
    <w:rsid w:val="00A56FF5"/>
    <w:rsid w:val="00AC1E86"/>
    <w:rsid w:val="00AF645D"/>
    <w:rsid w:val="00AF7EB0"/>
    <w:rsid w:val="00B11168"/>
    <w:rsid w:val="00B23A0B"/>
    <w:rsid w:val="00B308F2"/>
    <w:rsid w:val="00B475FD"/>
    <w:rsid w:val="00B57B4C"/>
    <w:rsid w:val="00B62755"/>
    <w:rsid w:val="00B762B4"/>
    <w:rsid w:val="00B9540F"/>
    <w:rsid w:val="00B96810"/>
    <w:rsid w:val="00B9688D"/>
    <w:rsid w:val="00BB1183"/>
    <w:rsid w:val="00BC56BC"/>
    <w:rsid w:val="00C006B8"/>
    <w:rsid w:val="00C40C29"/>
    <w:rsid w:val="00C57F3C"/>
    <w:rsid w:val="00C8339B"/>
    <w:rsid w:val="00C936E6"/>
    <w:rsid w:val="00CB7E47"/>
    <w:rsid w:val="00D2482B"/>
    <w:rsid w:val="00D26792"/>
    <w:rsid w:val="00DA1FD8"/>
    <w:rsid w:val="00DD14A4"/>
    <w:rsid w:val="00DF28C1"/>
    <w:rsid w:val="00DF74DD"/>
    <w:rsid w:val="00E22BFA"/>
    <w:rsid w:val="00E27E16"/>
    <w:rsid w:val="00E36F73"/>
    <w:rsid w:val="00E9096D"/>
    <w:rsid w:val="00EB7244"/>
    <w:rsid w:val="00EC4BD8"/>
    <w:rsid w:val="00EF7F46"/>
    <w:rsid w:val="00F023FA"/>
    <w:rsid w:val="00F07A46"/>
    <w:rsid w:val="00F2722C"/>
    <w:rsid w:val="00F428DB"/>
    <w:rsid w:val="00F62ECA"/>
    <w:rsid w:val="00F62EF4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9D52AB9E-5A10-403D-ABEB-B2BE21A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6250-7C82-406A-B09E-B3BDD84F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</cp:lastModifiedBy>
  <cp:revision>9</cp:revision>
  <cp:lastPrinted>2016-09-09T09:12:00Z</cp:lastPrinted>
  <dcterms:created xsi:type="dcterms:W3CDTF">2017-10-29T07:05:00Z</dcterms:created>
  <dcterms:modified xsi:type="dcterms:W3CDTF">2020-10-23T17:25:00Z</dcterms:modified>
</cp:coreProperties>
</file>