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F4CF" w14:textId="77777777" w:rsidR="00862D0F" w:rsidRDefault="00862D0F" w:rsidP="00862D0F">
      <w:pPr>
        <w:jc w:val="center"/>
        <w:rPr>
          <w:rFonts w:ascii="Verdana" w:hAnsi="Verdana"/>
          <w:sz w:val="22"/>
          <w:szCs w:val="22"/>
        </w:rPr>
      </w:pPr>
      <w:r>
        <w:rPr>
          <w:rFonts w:ascii="Verdana" w:hAnsi="Verdana"/>
          <w:sz w:val="22"/>
          <w:szCs w:val="22"/>
        </w:rPr>
        <w:t>Università di Firenze</w:t>
      </w:r>
    </w:p>
    <w:p w14:paraId="2718995E" w14:textId="738329F1" w:rsidR="00862D0F" w:rsidRDefault="00862D0F" w:rsidP="00862D0F">
      <w:pPr>
        <w:jc w:val="center"/>
        <w:rPr>
          <w:rFonts w:ascii="Verdana" w:hAnsi="Verdana"/>
          <w:sz w:val="22"/>
          <w:szCs w:val="22"/>
        </w:rPr>
      </w:pPr>
      <w:r w:rsidRPr="00171BCB">
        <w:rPr>
          <w:rFonts w:ascii="Verdana" w:hAnsi="Verdana"/>
          <w:sz w:val="22"/>
          <w:szCs w:val="22"/>
          <w:highlight w:val="yellow"/>
        </w:rPr>
        <w:t xml:space="preserve">Corso di Bilancio </w:t>
      </w:r>
      <w:r w:rsidR="00171BCB" w:rsidRPr="00171BCB">
        <w:rPr>
          <w:rFonts w:ascii="Verdana" w:hAnsi="Verdana"/>
          <w:sz w:val="22"/>
          <w:szCs w:val="22"/>
          <w:highlight w:val="yellow"/>
        </w:rPr>
        <w:t>– domande 09</w:t>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41DFB1B0" w14:textId="77777777" w:rsidR="00B77243" w:rsidRDefault="00B77243">
      <w:pPr>
        <w:rPr>
          <w:rFonts w:ascii="Verdana" w:hAnsi="Verdana" w:cs="Arial"/>
          <w:color w:val="000000" w:themeColor="text1"/>
          <w:sz w:val="22"/>
          <w:szCs w:val="22"/>
        </w:rPr>
      </w:pPr>
    </w:p>
    <w:p w14:paraId="37495C50" w14:textId="77777777" w:rsidR="00B77243" w:rsidRPr="00590C97" w:rsidRDefault="00B77243" w:rsidP="00B77243">
      <w:pPr>
        <w:ind w:right="-1"/>
        <w:jc w:val="both"/>
        <w:rPr>
          <w:rFonts w:ascii="Verdana" w:hAnsi="Verdana"/>
          <w:bCs/>
          <w:sz w:val="22"/>
          <w:szCs w:val="22"/>
        </w:rPr>
      </w:pPr>
      <w:r w:rsidRPr="00590C97">
        <w:rPr>
          <w:rFonts w:ascii="Verdana" w:hAnsi="Verdana"/>
          <w:bCs/>
          <w:sz w:val="22"/>
          <w:szCs w:val="22"/>
        </w:rPr>
        <w:t>1. Quale di queste situazioni genera la contabilizzazione di un rateo attivo:</w:t>
      </w:r>
    </w:p>
    <w:p w14:paraId="146732DF" w14:textId="77777777" w:rsidR="00B77243" w:rsidRPr="00590C97" w:rsidRDefault="00B77243" w:rsidP="00B77243">
      <w:pPr>
        <w:pStyle w:val="Corpotesto"/>
        <w:numPr>
          <w:ilvl w:val="0"/>
          <w:numId w:val="17"/>
        </w:numPr>
        <w:spacing w:before="0" w:line="240" w:lineRule="exact"/>
        <w:ind w:right="-1"/>
        <w:contextualSpacing/>
        <w:jc w:val="both"/>
        <w:rPr>
          <w:rFonts w:ascii="Verdana" w:hAnsi="Verdana"/>
          <w:bCs/>
          <w:sz w:val="22"/>
          <w:szCs w:val="22"/>
        </w:rPr>
      </w:pPr>
      <w:r w:rsidRPr="00590C97">
        <w:rPr>
          <w:rFonts w:ascii="Verdana" w:hAnsi="Verdana"/>
          <w:bCs/>
          <w:sz w:val="22"/>
          <w:szCs w:val="22"/>
        </w:rPr>
        <w:t>un rischio che si presume avrà manifestazione finanziaria nel prossimo esercizio</w:t>
      </w:r>
    </w:p>
    <w:p w14:paraId="56174544" w14:textId="77777777" w:rsidR="00B77243" w:rsidRPr="008B0ACC" w:rsidRDefault="00B77243" w:rsidP="00B77243">
      <w:pPr>
        <w:pStyle w:val="Corpotesto"/>
        <w:numPr>
          <w:ilvl w:val="0"/>
          <w:numId w:val="8"/>
        </w:numPr>
        <w:spacing w:before="0" w:line="240" w:lineRule="exact"/>
        <w:ind w:right="-1"/>
        <w:jc w:val="both"/>
        <w:rPr>
          <w:rFonts w:ascii="Verdana" w:hAnsi="Verdana"/>
          <w:b/>
          <w:bCs/>
          <w:sz w:val="22"/>
          <w:szCs w:val="22"/>
        </w:rPr>
      </w:pPr>
      <w:r w:rsidRPr="008B0ACC">
        <w:rPr>
          <w:rFonts w:ascii="Verdana" w:hAnsi="Verdana"/>
          <w:b/>
          <w:bCs/>
          <w:sz w:val="22"/>
          <w:szCs w:val="22"/>
        </w:rPr>
        <w:t>un interesse attivo che avrà manifestazione finanziaria nel prossimo esercizio</w:t>
      </w:r>
    </w:p>
    <w:p w14:paraId="55C91AA4" w14:textId="77777777" w:rsidR="00B77243" w:rsidRPr="00590C97" w:rsidRDefault="00B77243" w:rsidP="00B77243">
      <w:pPr>
        <w:pStyle w:val="Corpotesto"/>
        <w:numPr>
          <w:ilvl w:val="0"/>
          <w:numId w:val="8"/>
        </w:numPr>
        <w:spacing w:before="0" w:line="240" w:lineRule="exact"/>
        <w:ind w:right="-1"/>
        <w:jc w:val="both"/>
        <w:rPr>
          <w:rFonts w:ascii="Verdana" w:hAnsi="Verdana"/>
          <w:bCs/>
          <w:sz w:val="22"/>
          <w:szCs w:val="22"/>
        </w:rPr>
      </w:pPr>
      <w:r w:rsidRPr="00590C97">
        <w:rPr>
          <w:rFonts w:ascii="Verdana" w:hAnsi="Verdana"/>
          <w:bCs/>
          <w:sz w:val="22"/>
          <w:szCs w:val="22"/>
        </w:rPr>
        <w:t xml:space="preserve">delle merci già vendute che saranno incassate nel futuro esercizio </w:t>
      </w:r>
    </w:p>
    <w:p w14:paraId="1F0FF6B9" w14:textId="77777777" w:rsidR="00B77243" w:rsidRPr="00590C97" w:rsidRDefault="00B77243" w:rsidP="00B77243">
      <w:pPr>
        <w:pStyle w:val="Corpotesto"/>
        <w:numPr>
          <w:ilvl w:val="0"/>
          <w:numId w:val="8"/>
        </w:numPr>
        <w:spacing w:before="0" w:line="240" w:lineRule="exact"/>
        <w:ind w:right="-1"/>
        <w:jc w:val="both"/>
        <w:rPr>
          <w:rFonts w:ascii="Verdana" w:hAnsi="Verdana"/>
          <w:bCs/>
          <w:sz w:val="22"/>
          <w:szCs w:val="22"/>
        </w:rPr>
      </w:pPr>
      <w:r w:rsidRPr="00590C97">
        <w:rPr>
          <w:rFonts w:ascii="Verdana" w:hAnsi="Verdana"/>
          <w:bCs/>
          <w:sz w:val="22"/>
          <w:szCs w:val="22"/>
        </w:rPr>
        <w:t>un interesse passivo che avrà manifestazione finanziaria nel futuro esercizio</w:t>
      </w:r>
    </w:p>
    <w:p w14:paraId="4278D553" w14:textId="77777777" w:rsidR="00B77243" w:rsidRPr="00590C97" w:rsidRDefault="00B77243" w:rsidP="00B77243">
      <w:pPr>
        <w:ind w:right="-1"/>
        <w:rPr>
          <w:rFonts w:ascii="Verdana" w:hAnsi="Verdana"/>
          <w:bCs/>
          <w:sz w:val="22"/>
          <w:szCs w:val="22"/>
        </w:rPr>
      </w:pPr>
    </w:p>
    <w:tbl>
      <w:tblPr>
        <w:tblW w:w="9815" w:type="dxa"/>
        <w:tblInd w:w="-34" w:type="dxa"/>
        <w:tblLayout w:type="fixed"/>
        <w:tblLook w:val="04A0" w:firstRow="1" w:lastRow="0" w:firstColumn="1" w:lastColumn="0" w:noHBand="0" w:noVBand="1"/>
      </w:tblPr>
      <w:tblGrid>
        <w:gridCol w:w="9815"/>
      </w:tblGrid>
      <w:tr w:rsidR="00B77243" w:rsidRPr="008B0ACC" w14:paraId="3E90B9B2" w14:textId="77777777" w:rsidTr="00725B44">
        <w:trPr>
          <w:trHeight w:val="188"/>
        </w:trPr>
        <w:tc>
          <w:tcPr>
            <w:tcW w:w="9815" w:type="dxa"/>
            <w:hideMark/>
          </w:tcPr>
          <w:p w14:paraId="46EE49C4" w14:textId="6023F0C2" w:rsidR="00B77243" w:rsidRPr="008B0ACC" w:rsidRDefault="00B77243" w:rsidP="00725B44">
            <w:pPr>
              <w:spacing w:line="240" w:lineRule="exact"/>
              <w:ind w:right="-1"/>
              <w:jc w:val="both"/>
              <w:rPr>
                <w:rFonts w:ascii="Verdana" w:hAnsi="Verdana"/>
                <w:strike/>
                <w:sz w:val="22"/>
                <w:szCs w:val="22"/>
              </w:rPr>
            </w:pPr>
            <w:r w:rsidRPr="008B0ACC">
              <w:rPr>
                <w:rFonts w:ascii="Verdana" w:hAnsi="Verdana"/>
                <w:strike/>
                <w:sz w:val="22"/>
                <w:szCs w:val="22"/>
              </w:rPr>
              <w:t>2. L’attivo dello stato patrimoniale presenta poste classificate, in prima approssimazione, con il criterio della destinazione. Tuttavia, vi sono alcune poste che sono classificate esclusivamente sulla base del criterio della natura. Ne sono esempio:</w:t>
            </w:r>
          </w:p>
        </w:tc>
      </w:tr>
      <w:tr w:rsidR="00B77243" w:rsidRPr="008B0ACC" w14:paraId="243AD09E" w14:textId="77777777" w:rsidTr="00725B44">
        <w:trPr>
          <w:trHeight w:val="1241"/>
        </w:trPr>
        <w:tc>
          <w:tcPr>
            <w:tcW w:w="9815" w:type="dxa"/>
            <w:hideMark/>
          </w:tcPr>
          <w:p w14:paraId="5130C52B" w14:textId="77777777" w:rsidR="00B77243" w:rsidRPr="008B0ACC" w:rsidRDefault="00B77243" w:rsidP="00B77243">
            <w:pPr>
              <w:numPr>
                <w:ilvl w:val="0"/>
                <w:numId w:val="7"/>
              </w:numPr>
              <w:spacing w:line="240" w:lineRule="exact"/>
              <w:ind w:right="-1"/>
              <w:jc w:val="both"/>
              <w:rPr>
                <w:rFonts w:ascii="Verdana" w:hAnsi="Verdana" w:cs="Arial"/>
                <w:strike/>
                <w:sz w:val="22"/>
                <w:szCs w:val="22"/>
              </w:rPr>
            </w:pPr>
            <w:r w:rsidRPr="008B0ACC">
              <w:rPr>
                <w:rFonts w:ascii="Verdana" w:hAnsi="Verdana"/>
                <w:strike/>
                <w:sz w:val="22"/>
                <w:szCs w:val="22"/>
              </w:rPr>
              <w:t>nell’attivo circolante, i crediti con separata indicazione della parte esigibile oltre l’esercizio successivo</w:t>
            </w:r>
          </w:p>
          <w:p w14:paraId="5708E4DA" w14:textId="77777777" w:rsidR="00B77243" w:rsidRPr="008B0ACC" w:rsidRDefault="00B77243" w:rsidP="00B77243">
            <w:pPr>
              <w:numPr>
                <w:ilvl w:val="0"/>
                <w:numId w:val="7"/>
              </w:numPr>
              <w:spacing w:line="240" w:lineRule="exact"/>
              <w:ind w:right="-1"/>
              <w:jc w:val="both"/>
              <w:rPr>
                <w:rFonts w:ascii="Verdana" w:hAnsi="Verdana" w:cs="Arial"/>
                <w:strike/>
                <w:sz w:val="22"/>
                <w:szCs w:val="22"/>
              </w:rPr>
            </w:pPr>
            <w:r w:rsidRPr="008B0ACC">
              <w:rPr>
                <w:rFonts w:ascii="Verdana" w:hAnsi="Verdana"/>
                <w:strike/>
                <w:sz w:val="22"/>
                <w:szCs w:val="22"/>
              </w:rPr>
              <w:t>nelle immobilizzazioni finanziarie, i crediti con separata indicazione della parte</w:t>
            </w:r>
            <w:r w:rsidRPr="008B0ACC">
              <w:rPr>
                <w:rFonts w:ascii="Verdana" w:hAnsi="Verdana" w:cs="Arial"/>
                <w:strike/>
                <w:sz w:val="22"/>
                <w:szCs w:val="22"/>
              </w:rPr>
              <w:t xml:space="preserve"> </w:t>
            </w:r>
            <w:r w:rsidRPr="008B0ACC">
              <w:rPr>
                <w:rFonts w:ascii="Verdana" w:hAnsi="Verdana"/>
                <w:strike/>
                <w:sz w:val="22"/>
                <w:szCs w:val="22"/>
              </w:rPr>
              <w:t>esigibile entro l’esercizio successivo</w:t>
            </w:r>
          </w:p>
          <w:p w14:paraId="0B405E0F" w14:textId="77777777" w:rsidR="00B77243" w:rsidRPr="008B0ACC" w:rsidRDefault="00B77243" w:rsidP="00B77243">
            <w:pPr>
              <w:numPr>
                <w:ilvl w:val="0"/>
                <w:numId w:val="7"/>
              </w:numPr>
              <w:spacing w:line="240" w:lineRule="exact"/>
              <w:ind w:right="-1"/>
              <w:jc w:val="both"/>
              <w:rPr>
                <w:rFonts w:ascii="Verdana" w:hAnsi="Verdana" w:cs="Arial"/>
                <w:b/>
                <w:strike/>
                <w:sz w:val="22"/>
                <w:szCs w:val="22"/>
              </w:rPr>
            </w:pPr>
            <w:r w:rsidRPr="008B0ACC">
              <w:rPr>
                <w:rFonts w:ascii="Verdana" w:hAnsi="Verdana"/>
                <w:b/>
                <w:strike/>
                <w:sz w:val="22"/>
                <w:szCs w:val="22"/>
              </w:rPr>
              <w:t>i ratei ed i risconti attivi</w:t>
            </w:r>
          </w:p>
          <w:p w14:paraId="3F651747" w14:textId="77777777" w:rsidR="00B77243" w:rsidRPr="008B0ACC" w:rsidRDefault="00B77243" w:rsidP="00B77243">
            <w:pPr>
              <w:numPr>
                <w:ilvl w:val="0"/>
                <w:numId w:val="7"/>
              </w:numPr>
              <w:spacing w:line="240" w:lineRule="exact"/>
              <w:ind w:right="-1"/>
              <w:jc w:val="both"/>
              <w:rPr>
                <w:rFonts w:ascii="Verdana" w:hAnsi="Verdana" w:cs="Arial"/>
                <w:strike/>
                <w:sz w:val="22"/>
                <w:szCs w:val="22"/>
              </w:rPr>
            </w:pPr>
            <w:r w:rsidRPr="008B0ACC">
              <w:rPr>
                <w:rFonts w:ascii="Verdana" w:hAnsi="Verdana"/>
                <w:strike/>
                <w:sz w:val="22"/>
                <w:szCs w:val="22"/>
              </w:rPr>
              <w:t>gli acconti ai fornitori di immobilizzazioni</w:t>
            </w:r>
          </w:p>
        </w:tc>
      </w:tr>
    </w:tbl>
    <w:p w14:paraId="3DB080C8" w14:textId="77777777" w:rsidR="00B77243" w:rsidRPr="00590C97" w:rsidRDefault="00B77243">
      <w:pPr>
        <w:rPr>
          <w:rFonts w:ascii="Verdana" w:hAnsi="Verdana" w:cs="Arial"/>
          <w:color w:val="000000" w:themeColor="text1"/>
          <w:sz w:val="22"/>
          <w:szCs w:val="22"/>
        </w:rPr>
      </w:pPr>
    </w:p>
    <w:p w14:paraId="34C1031F" w14:textId="49BCDED3" w:rsidR="00B77243" w:rsidRPr="00590C97" w:rsidRDefault="001512C9" w:rsidP="00B77243">
      <w:pPr>
        <w:ind w:right="-1"/>
        <w:jc w:val="both"/>
        <w:rPr>
          <w:rFonts w:ascii="Verdana" w:hAnsi="Verdana" w:cs="Arial"/>
          <w:sz w:val="22"/>
          <w:szCs w:val="22"/>
        </w:rPr>
      </w:pPr>
      <w:r w:rsidRPr="00590C97">
        <w:rPr>
          <w:rFonts w:ascii="Verdana" w:hAnsi="Verdana" w:cs="Arial"/>
          <w:sz w:val="22"/>
          <w:szCs w:val="22"/>
        </w:rPr>
        <w:t>3</w:t>
      </w:r>
      <w:r w:rsidR="00B77243" w:rsidRPr="00590C97">
        <w:rPr>
          <w:rFonts w:ascii="Verdana" w:hAnsi="Verdana" w:cs="Arial"/>
          <w:sz w:val="22"/>
          <w:szCs w:val="22"/>
        </w:rPr>
        <w:t>. Il metodo della percentuale di completamento nella valutazione dei lavori in corso su ordinazione rispetto al metodo del contratto completato:</w:t>
      </w:r>
    </w:p>
    <w:p w14:paraId="6BA19832" w14:textId="77777777" w:rsidR="00B77243" w:rsidRPr="00590C97" w:rsidRDefault="00B77243" w:rsidP="00B77243">
      <w:pPr>
        <w:pStyle w:val="Corpotesto"/>
        <w:numPr>
          <w:ilvl w:val="0"/>
          <w:numId w:val="7"/>
        </w:numPr>
        <w:spacing w:before="0"/>
        <w:ind w:left="714" w:right="-1" w:hanging="357"/>
        <w:rPr>
          <w:rFonts w:ascii="Verdana" w:hAnsi="Verdana"/>
          <w:bCs/>
          <w:sz w:val="22"/>
          <w:szCs w:val="22"/>
        </w:rPr>
      </w:pPr>
      <w:r w:rsidRPr="00590C97">
        <w:rPr>
          <w:rFonts w:ascii="Verdana" w:hAnsi="Verdana"/>
          <w:bCs/>
          <w:sz w:val="22"/>
          <w:szCs w:val="22"/>
        </w:rPr>
        <w:t>comporta una sopravvalutazione dei costi della produzione nei primi anni di realizzazione della commessa per gli oneri direttamente imputabili alla stessa</w:t>
      </w:r>
    </w:p>
    <w:p w14:paraId="3158B17F" w14:textId="77777777" w:rsidR="00B77243" w:rsidRPr="00590C97" w:rsidRDefault="00B77243" w:rsidP="00B77243">
      <w:pPr>
        <w:pStyle w:val="Corpotesto"/>
        <w:numPr>
          <w:ilvl w:val="0"/>
          <w:numId w:val="7"/>
        </w:numPr>
        <w:spacing w:before="0"/>
        <w:ind w:left="714" w:right="-1" w:hanging="357"/>
        <w:rPr>
          <w:rFonts w:ascii="Verdana" w:hAnsi="Verdana"/>
          <w:bCs/>
          <w:sz w:val="22"/>
          <w:szCs w:val="22"/>
        </w:rPr>
      </w:pPr>
      <w:r w:rsidRPr="00590C97">
        <w:rPr>
          <w:rFonts w:ascii="Verdana" w:hAnsi="Verdana"/>
          <w:bCs/>
          <w:sz w:val="22"/>
          <w:szCs w:val="22"/>
        </w:rPr>
        <w:t>comporta una sottovalutazione dei costi della produzione nei primi anni di realizzazione della commessa per gli oneri direttamente imputabili alla stessa</w:t>
      </w:r>
    </w:p>
    <w:p w14:paraId="329E2E61" w14:textId="77777777" w:rsidR="00B77243" w:rsidRPr="00590C97" w:rsidRDefault="00B77243" w:rsidP="00B77243">
      <w:pPr>
        <w:pStyle w:val="Corpotesto"/>
        <w:numPr>
          <w:ilvl w:val="0"/>
          <w:numId w:val="7"/>
        </w:numPr>
        <w:spacing w:before="0"/>
        <w:ind w:left="714" w:right="-1" w:hanging="357"/>
        <w:rPr>
          <w:rFonts w:ascii="Verdana" w:hAnsi="Verdana"/>
          <w:bCs/>
          <w:sz w:val="22"/>
          <w:szCs w:val="22"/>
        </w:rPr>
      </w:pPr>
      <w:r w:rsidRPr="00590C97">
        <w:rPr>
          <w:rFonts w:ascii="Verdana" w:hAnsi="Verdana"/>
          <w:bCs/>
          <w:sz w:val="22"/>
          <w:szCs w:val="22"/>
        </w:rPr>
        <w:t>conduce ad una valutazione basata sul costo, più prudenziale rispetto al metodo del contratto completato, poiché gli utili di commessa sono contabilizzati soltanto al completamento della stessa</w:t>
      </w:r>
    </w:p>
    <w:p w14:paraId="7965FF86" w14:textId="77777777" w:rsidR="00B77243" w:rsidRPr="008601C9" w:rsidRDefault="00B77243" w:rsidP="00B77243">
      <w:pPr>
        <w:pStyle w:val="Corpotesto"/>
        <w:numPr>
          <w:ilvl w:val="0"/>
          <w:numId w:val="7"/>
        </w:numPr>
        <w:spacing w:before="0"/>
        <w:ind w:left="714" w:right="-1" w:hanging="357"/>
        <w:rPr>
          <w:rFonts w:ascii="Verdana" w:hAnsi="Verdana"/>
          <w:b/>
          <w:bCs/>
          <w:sz w:val="22"/>
          <w:szCs w:val="22"/>
        </w:rPr>
      </w:pPr>
      <w:r w:rsidRPr="008601C9">
        <w:rPr>
          <w:rFonts w:ascii="Verdana" w:hAnsi="Verdana"/>
          <w:b/>
          <w:bCs/>
          <w:sz w:val="22"/>
          <w:szCs w:val="22"/>
        </w:rPr>
        <w:t>conduce ad una valutazione basata sul prezzo, meno prudenziale rispetto al metodo del contratto completato, poiché gli utili di commessa sono ripartiti negli anni di effettiva realizzazione della stessa</w:t>
      </w:r>
    </w:p>
    <w:p w14:paraId="2CF289D6" w14:textId="77777777" w:rsidR="00B77243" w:rsidRPr="00590C97" w:rsidRDefault="00B77243">
      <w:pPr>
        <w:rPr>
          <w:rFonts w:ascii="Verdana" w:hAnsi="Verdana" w:cs="Arial"/>
          <w:color w:val="000000" w:themeColor="text1"/>
          <w:sz w:val="22"/>
          <w:szCs w:val="22"/>
        </w:rPr>
      </w:pPr>
    </w:p>
    <w:tbl>
      <w:tblPr>
        <w:tblW w:w="9781" w:type="dxa"/>
        <w:tblLayout w:type="fixed"/>
        <w:tblLook w:val="04A0" w:firstRow="1" w:lastRow="0" w:firstColumn="1" w:lastColumn="0" w:noHBand="0" w:noVBand="1"/>
      </w:tblPr>
      <w:tblGrid>
        <w:gridCol w:w="9781"/>
      </w:tblGrid>
      <w:tr w:rsidR="00B77243" w:rsidRPr="00590C97" w14:paraId="67904C61" w14:textId="77777777" w:rsidTr="00725B44">
        <w:tc>
          <w:tcPr>
            <w:tcW w:w="9781" w:type="dxa"/>
          </w:tcPr>
          <w:p w14:paraId="2D992795" w14:textId="56DB62FD" w:rsidR="00B77243" w:rsidRPr="00590C97" w:rsidRDefault="001512C9" w:rsidP="00421FB0">
            <w:pPr>
              <w:spacing w:line="240" w:lineRule="exact"/>
              <w:ind w:right="-1"/>
              <w:jc w:val="both"/>
              <w:rPr>
                <w:rFonts w:ascii="Verdana" w:hAnsi="Verdana" w:cs="Arial"/>
                <w:sz w:val="22"/>
                <w:szCs w:val="22"/>
              </w:rPr>
            </w:pPr>
            <w:r w:rsidRPr="00590C97">
              <w:rPr>
                <w:rFonts w:ascii="Verdana" w:hAnsi="Verdana" w:cs="Arial"/>
                <w:sz w:val="22"/>
                <w:szCs w:val="22"/>
              </w:rPr>
              <w:t>4</w:t>
            </w:r>
            <w:r w:rsidR="00B77243" w:rsidRPr="00590C97">
              <w:rPr>
                <w:rFonts w:ascii="Verdana" w:hAnsi="Verdana" w:cs="Arial"/>
                <w:sz w:val="22"/>
                <w:szCs w:val="22"/>
              </w:rPr>
              <w:t xml:space="preserve">. Un’azienda decide di dismettere </w:t>
            </w:r>
            <w:r w:rsidR="00421FB0" w:rsidRPr="00590C97">
              <w:rPr>
                <w:rFonts w:ascii="Verdana" w:hAnsi="Verdana" w:cs="Arial"/>
                <w:sz w:val="22"/>
                <w:szCs w:val="22"/>
              </w:rPr>
              <w:t>durante il</w:t>
            </w:r>
            <w:r w:rsidR="00B77243" w:rsidRPr="00590C97">
              <w:rPr>
                <w:rFonts w:ascii="Verdana" w:hAnsi="Verdana" w:cs="Arial"/>
                <w:sz w:val="22"/>
                <w:szCs w:val="22"/>
              </w:rPr>
              <w:t xml:space="preserve"> </w:t>
            </w:r>
            <w:r w:rsidR="00421FB0" w:rsidRPr="00590C97">
              <w:rPr>
                <w:rFonts w:ascii="Verdana" w:hAnsi="Verdana" w:cs="Arial"/>
                <w:sz w:val="22"/>
                <w:szCs w:val="22"/>
              </w:rPr>
              <w:t xml:space="preserve">5° anno </w:t>
            </w:r>
            <w:r w:rsidR="00B77243" w:rsidRPr="00590C97">
              <w:rPr>
                <w:rFonts w:ascii="Verdana" w:hAnsi="Verdana" w:cs="Arial"/>
                <w:sz w:val="22"/>
                <w:szCs w:val="22"/>
              </w:rPr>
              <w:t>un macchinario con le seguenti caratteristiche: costo storico 10.000, valore finale 1.000, vita utile di 6 anni, prezzo di vendita 3.500. L’ammortamento è a quote costanti. Quali delle seguenti è corretta?</w:t>
            </w:r>
          </w:p>
        </w:tc>
      </w:tr>
      <w:tr w:rsidR="00B77243" w:rsidRPr="00590C97" w14:paraId="12AC01F7" w14:textId="77777777" w:rsidTr="00725B44">
        <w:tc>
          <w:tcPr>
            <w:tcW w:w="9781" w:type="dxa"/>
          </w:tcPr>
          <w:p w14:paraId="25CF097F" w14:textId="77777777" w:rsidR="00B77243" w:rsidRPr="00590C97" w:rsidRDefault="00B77243" w:rsidP="00B77243">
            <w:pPr>
              <w:numPr>
                <w:ilvl w:val="0"/>
                <w:numId w:val="8"/>
              </w:numPr>
              <w:spacing w:line="240" w:lineRule="exact"/>
              <w:ind w:right="-1"/>
              <w:jc w:val="both"/>
              <w:rPr>
                <w:rFonts w:ascii="Verdana" w:hAnsi="Verdana" w:cs="Arial"/>
                <w:sz w:val="22"/>
                <w:szCs w:val="22"/>
              </w:rPr>
            </w:pPr>
            <w:r w:rsidRPr="00590C97">
              <w:rPr>
                <w:rFonts w:ascii="Verdana" w:hAnsi="Verdana" w:cs="Arial"/>
                <w:sz w:val="22"/>
                <w:szCs w:val="22"/>
              </w:rPr>
              <w:t>plusvalenza di 3.500</w:t>
            </w:r>
          </w:p>
        </w:tc>
      </w:tr>
      <w:tr w:rsidR="00B77243" w:rsidRPr="00590C97" w14:paraId="426B632D" w14:textId="77777777" w:rsidTr="00725B44">
        <w:tc>
          <w:tcPr>
            <w:tcW w:w="9781" w:type="dxa"/>
          </w:tcPr>
          <w:p w14:paraId="6BD41660" w14:textId="77777777" w:rsidR="00B77243" w:rsidRPr="00590C97" w:rsidRDefault="00B77243" w:rsidP="00B77243">
            <w:pPr>
              <w:numPr>
                <w:ilvl w:val="0"/>
                <w:numId w:val="8"/>
              </w:numPr>
              <w:spacing w:line="240" w:lineRule="exact"/>
              <w:ind w:right="-1"/>
              <w:jc w:val="both"/>
              <w:rPr>
                <w:rFonts w:ascii="Verdana" w:hAnsi="Verdana" w:cs="Arial"/>
                <w:sz w:val="22"/>
                <w:szCs w:val="22"/>
              </w:rPr>
            </w:pPr>
            <w:r w:rsidRPr="00590C97">
              <w:rPr>
                <w:rFonts w:ascii="Verdana" w:hAnsi="Verdana" w:cs="Arial"/>
                <w:sz w:val="22"/>
                <w:szCs w:val="22"/>
              </w:rPr>
              <w:t>plusvalenza di 2.500</w:t>
            </w:r>
          </w:p>
        </w:tc>
      </w:tr>
      <w:tr w:rsidR="00B77243" w:rsidRPr="00590C97" w14:paraId="2471FE63" w14:textId="77777777" w:rsidTr="00725B44">
        <w:tc>
          <w:tcPr>
            <w:tcW w:w="9781" w:type="dxa"/>
          </w:tcPr>
          <w:p w14:paraId="2CC88A65" w14:textId="77777777" w:rsidR="00B77243" w:rsidRPr="008601C9" w:rsidRDefault="00B77243" w:rsidP="00B77243">
            <w:pPr>
              <w:numPr>
                <w:ilvl w:val="0"/>
                <w:numId w:val="8"/>
              </w:numPr>
              <w:spacing w:line="240" w:lineRule="exact"/>
              <w:ind w:right="-1"/>
              <w:jc w:val="both"/>
              <w:rPr>
                <w:rFonts w:ascii="Verdana" w:hAnsi="Verdana" w:cs="Arial"/>
                <w:b/>
                <w:sz w:val="22"/>
                <w:szCs w:val="22"/>
              </w:rPr>
            </w:pPr>
            <w:r w:rsidRPr="008601C9">
              <w:rPr>
                <w:rFonts w:ascii="Verdana" w:hAnsi="Verdana" w:cs="Arial"/>
                <w:b/>
                <w:sz w:val="22"/>
                <w:szCs w:val="22"/>
              </w:rPr>
              <w:t>minusvalenza di 500</w:t>
            </w:r>
          </w:p>
        </w:tc>
      </w:tr>
      <w:tr w:rsidR="00B77243" w:rsidRPr="00590C97" w14:paraId="57717A8F" w14:textId="77777777" w:rsidTr="00725B44">
        <w:tc>
          <w:tcPr>
            <w:tcW w:w="9781" w:type="dxa"/>
          </w:tcPr>
          <w:p w14:paraId="4438F08F" w14:textId="77777777" w:rsidR="00B77243" w:rsidRPr="00590C97" w:rsidRDefault="00B77243" w:rsidP="00B77243">
            <w:pPr>
              <w:numPr>
                <w:ilvl w:val="0"/>
                <w:numId w:val="8"/>
              </w:numPr>
              <w:spacing w:line="240" w:lineRule="exact"/>
              <w:ind w:right="-1"/>
              <w:jc w:val="both"/>
              <w:rPr>
                <w:rFonts w:ascii="Verdana" w:hAnsi="Verdana" w:cs="Arial"/>
                <w:sz w:val="22"/>
                <w:szCs w:val="22"/>
              </w:rPr>
            </w:pPr>
            <w:r w:rsidRPr="00590C97">
              <w:rPr>
                <w:rFonts w:ascii="Verdana" w:hAnsi="Verdana" w:cs="Arial"/>
                <w:sz w:val="22"/>
                <w:szCs w:val="22"/>
              </w:rPr>
              <w:t>minusvalenza di 167</w:t>
            </w:r>
          </w:p>
        </w:tc>
      </w:tr>
    </w:tbl>
    <w:p w14:paraId="7589275F" w14:textId="77777777" w:rsidR="00B77243" w:rsidRPr="00590C97" w:rsidRDefault="00B77243">
      <w:pPr>
        <w:rPr>
          <w:rFonts w:ascii="Verdana" w:hAnsi="Verdana" w:cs="Arial"/>
          <w:color w:val="000000" w:themeColor="text1"/>
          <w:sz w:val="22"/>
          <w:szCs w:val="22"/>
        </w:rPr>
      </w:pPr>
    </w:p>
    <w:p w14:paraId="0980160B" w14:textId="3525CA12" w:rsidR="00B77243" w:rsidRPr="00590C97" w:rsidRDefault="001512C9" w:rsidP="00B77243">
      <w:pPr>
        <w:spacing w:line="240" w:lineRule="exact"/>
        <w:jc w:val="both"/>
        <w:rPr>
          <w:rFonts w:ascii="Verdana" w:hAnsi="Verdana"/>
          <w:bCs/>
          <w:sz w:val="22"/>
          <w:szCs w:val="22"/>
        </w:rPr>
      </w:pPr>
      <w:r w:rsidRPr="00590C97">
        <w:rPr>
          <w:rFonts w:ascii="Verdana" w:hAnsi="Verdana"/>
          <w:bCs/>
          <w:sz w:val="22"/>
          <w:szCs w:val="22"/>
        </w:rPr>
        <w:t>5</w:t>
      </w:r>
      <w:r w:rsidR="00B77243" w:rsidRPr="00590C97">
        <w:rPr>
          <w:rFonts w:ascii="Verdana" w:hAnsi="Verdana"/>
          <w:bCs/>
          <w:sz w:val="22"/>
          <w:szCs w:val="22"/>
        </w:rPr>
        <w:t>. Un’azienda completa e vende nell’esercizio in corso una commessa per la cui realizzazione sono stati necessari tre anni. Questo comporta nel conto economico dell’esercizio in corso, relativamente a detta commessa, l’inserimento di:</w:t>
      </w:r>
    </w:p>
    <w:p w14:paraId="11DA4B30" w14:textId="77777777" w:rsidR="00B77243" w:rsidRPr="008601C9" w:rsidRDefault="00B77243" w:rsidP="00B77243">
      <w:pPr>
        <w:pStyle w:val="Corpotesto"/>
        <w:numPr>
          <w:ilvl w:val="0"/>
          <w:numId w:val="17"/>
        </w:numPr>
        <w:spacing w:before="0" w:line="240" w:lineRule="exact"/>
        <w:contextualSpacing/>
        <w:jc w:val="both"/>
        <w:rPr>
          <w:rFonts w:ascii="Verdana" w:hAnsi="Verdana"/>
          <w:b/>
          <w:bCs/>
          <w:sz w:val="22"/>
          <w:szCs w:val="22"/>
        </w:rPr>
      </w:pPr>
      <w:r w:rsidRPr="008601C9">
        <w:rPr>
          <w:rFonts w:ascii="Verdana" w:hAnsi="Verdana"/>
          <w:b/>
          <w:bCs/>
          <w:sz w:val="22"/>
          <w:szCs w:val="22"/>
        </w:rPr>
        <w:t>un valore negativo come “variazioni lavori in corso”</w:t>
      </w:r>
    </w:p>
    <w:p w14:paraId="7E8323D6" w14:textId="77777777" w:rsidR="00B77243" w:rsidRPr="00590C97" w:rsidRDefault="00B77243" w:rsidP="00B77243">
      <w:pPr>
        <w:pStyle w:val="Corpotesto"/>
        <w:numPr>
          <w:ilvl w:val="0"/>
          <w:numId w:val="8"/>
        </w:numPr>
        <w:spacing w:before="0" w:line="240" w:lineRule="exact"/>
        <w:jc w:val="both"/>
        <w:rPr>
          <w:rFonts w:ascii="Verdana" w:hAnsi="Verdana"/>
          <w:bCs/>
          <w:sz w:val="22"/>
          <w:szCs w:val="22"/>
        </w:rPr>
      </w:pPr>
      <w:r w:rsidRPr="00590C97">
        <w:rPr>
          <w:rFonts w:ascii="Verdana" w:hAnsi="Verdana"/>
          <w:bCs/>
          <w:sz w:val="22"/>
          <w:szCs w:val="22"/>
        </w:rPr>
        <w:t>un valore positivo come “variazione lavori in corso</w:t>
      </w:r>
    </w:p>
    <w:p w14:paraId="0802B9D0" w14:textId="77777777" w:rsidR="00B77243" w:rsidRPr="00590C97" w:rsidRDefault="00B77243" w:rsidP="00B77243">
      <w:pPr>
        <w:pStyle w:val="Corpotesto"/>
        <w:numPr>
          <w:ilvl w:val="0"/>
          <w:numId w:val="8"/>
        </w:numPr>
        <w:spacing w:before="0" w:line="240" w:lineRule="exact"/>
        <w:jc w:val="both"/>
        <w:rPr>
          <w:rFonts w:ascii="Verdana" w:hAnsi="Verdana"/>
          <w:bCs/>
          <w:sz w:val="22"/>
          <w:szCs w:val="22"/>
        </w:rPr>
      </w:pPr>
      <w:r w:rsidRPr="00590C97">
        <w:rPr>
          <w:rFonts w:ascii="Verdana" w:hAnsi="Verdana"/>
          <w:bCs/>
          <w:sz w:val="22"/>
          <w:szCs w:val="22"/>
        </w:rPr>
        <w:t>un valore nullo come “variazione lavori in corso”</w:t>
      </w:r>
    </w:p>
    <w:p w14:paraId="6B9F17C8" w14:textId="77777777" w:rsidR="00B77243" w:rsidRPr="00590C97" w:rsidRDefault="00B77243" w:rsidP="00B77243">
      <w:pPr>
        <w:pStyle w:val="Corpotesto"/>
        <w:numPr>
          <w:ilvl w:val="0"/>
          <w:numId w:val="8"/>
        </w:numPr>
        <w:spacing w:before="0" w:line="240" w:lineRule="exact"/>
        <w:jc w:val="both"/>
        <w:rPr>
          <w:rFonts w:ascii="Verdana" w:hAnsi="Verdana"/>
          <w:bCs/>
          <w:sz w:val="22"/>
          <w:szCs w:val="22"/>
        </w:rPr>
      </w:pPr>
      <w:r w:rsidRPr="00590C97">
        <w:rPr>
          <w:rFonts w:ascii="Verdana" w:hAnsi="Verdana"/>
          <w:bCs/>
          <w:sz w:val="22"/>
          <w:szCs w:val="22"/>
        </w:rPr>
        <w:t>nessuna delle precedenti è corretta</w:t>
      </w:r>
    </w:p>
    <w:p w14:paraId="51604ED6" w14:textId="77777777" w:rsidR="00B77243" w:rsidRPr="00590C97" w:rsidRDefault="00B77243" w:rsidP="00B77243">
      <w:pPr>
        <w:spacing w:line="240" w:lineRule="exact"/>
        <w:jc w:val="both"/>
        <w:rPr>
          <w:rFonts w:ascii="Verdana" w:hAnsi="Verdana"/>
          <w:bCs/>
          <w:sz w:val="22"/>
          <w:szCs w:val="22"/>
        </w:rPr>
      </w:pPr>
    </w:p>
    <w:tbl>
      <w:tblPr>
        <w:tblW w:w="9889" w:type="dxa"/>
        <w:tblLook w:val="04A0" w:firstRow="1" w:lastRow="0" w:firstColumn="1" w:lastColumn="0" w:noHBand="0" w:noVBand="1"/>
      </w:tblPr>
      <w:tblGrid>
        <w:gridCol w:w="9889"/>
      </w:tblGrid>
      <w:tr w:rsidR="00B77243" w:rsidRPr="00590C97" w14:paraId="416B0618" w14:textId="77777777" w:rsidTr="00725B44">
        <w:trPr>
          <w:trHeight w:val="258"/>
        </w:trPr>
        <w:tc>
          <w:tcPr>
            <w:tcW w:w="9889" w:type="dxa"/>
          </w:tcPr>
          <w:p w14:paraId="3D17497D" w14:textId="156DCFE1" w:rsidR="00B77243" w:rsidRPr="00590C97" w:rsidRDefault="001512C9" w:rsidP="00725B44">
            <w:pPr>
              <w:spacing w:line="240" w:lineRule="exact"/>
              <w:jc w:val="both"/>
              <w:rPr>
                <w:rFonts w:ascii="Verdana" w:hAnsi="Verdana" w:cs="Arial"/>
                <w:sz w:val="22"/>
                <w:szCs w:val="22"/>
              </w:rPr>
            </w:pPr>
            <w:r w:rsidRPr="00590C97">
              <w:rPr>
                <w:rFonts w:ascii="Verdana" w:hAnsi="Verdana" w:cs="Arial"/>
                <w:sz w:val="22"/>
                <w:szCs w:val="22"/>
              </w:rPr>
              <w:t>6</w:t>
            </w:r>
            <w:r w:rsidR="00B77243" w:rsidRPr="00590C97">
              <w:rPr>
                <w:rFonts w:ascii="Verdana" w:hAnsi="Verdana" w:cs="Arial"/>
                <w:sz w:val="22"/>
                <w:szCs w:val="22"/>
              </w:rPr>
              <w:t>. Quale dei seguenti metodi di contabilizzazione dei lavori pluriennali su ordinazione comporta un’anticipata contabilizzazione dei ricavi derivanti dalla realizzazione di una commessa?</w:t>
            </w:r>
          </w:p>
        </w:tc>
      </w:tr>
      <w:tr w:rsidR="00B77243" w:rsidRPr="00590C97" w14:paraId="3B102489" w14:textId="77777777" w:rsidTr="00725B44">
        <w:tc>
          <w:tcPr>
            <w:tcW w:w="9889" w:type="dxa"/>
          </w:tcPr>
          <w:p w14:paraId="41D59DB6" w14:textId="77777777" w:rsidR="00B77243" w:rsidRPr="00590C97" w:rsidRDefault="00B77243" w:rsidP="00B77243">
            <w:pPr>
              <w:numPr>
                <w:ilvl w:val="0"/>
                <w:numId w:val="10"/>
              </w:numPr>
              <w:spacing w:line="240" w:lineRule="exact"/>
              <w:contextualSpacing/>
              <w:jc w:val="both"/>
              <w:rPr>
                <w:rFonts w:ascii="Verdana" w:eastAsia="Calibri" w:hAnsi="Verdana" w:cs="Arial"/>
                <w:sz w:val="22"/>
                <w:szCs w:val="22"/>
                <w:lang w:eastAsia="en-US"/>
              </w:rPr>
            </w:pPr>
            <w:r w:rsidRPr="00590C97">
              <w:rPr>
                <w:rFonts w:ascii="Verdana" w:eastAsia="Calibri" w:hAnsi="Verdana" w:cs="Arial"/>
                <w:sz w:val="22"/>
                <w:szCs w:val="22"/>
                <w:lang w:eastAsia="en-US"/>
              </w:rPr>
              <w:t xml:space="preserve">Metodo del costo completato   </w:t>
            </w:r>
          </w:p>
        </w:tc>
      </w:tr>
      <w:tr w:rsidR="00B77243" w:rsidRPr="00590C97" w14:paraId="11522EB1" w14:textId="77777777" w:rsidTr="00725B44">
        <w:trPr>
          <w:trHeight w:val="95"/>
        </w:trPr>
        <w:tc>
          <w:tcPr>
            <w:tcW w:w="9889" w:type="dxa"/>
          </w:tcPr>
          <w:p w14:paraId="7556784E" w14:textId="77777777" w:rsidR="00B77243" w:rsidRPr="008601C9" w:rsidRDefault="00B77243" w:rsidP="00B77243">
            <w:pPr>
              <w:numPr>
                <w:ilvl w:val="0"/>
                <w:numId w:val="10"/>
              </w:numPr>
              <w:spacing w:line="240" w:lineRule="exact"/>
              <w:contextualSpacing/>
              <w:jc w:val="both"/>
              <w:rPr>
                <w:rFonts w:ascii="Verdana" w:eastAsia="Calibri" w:hAnsi="Verdana" w:cs="Arial"/>
                <w:b/>
                <w:sz w:val="22"/>
                <w:szCs w:val="22"/>
                <w:lang w:eastAsia="en-US"/>
              </w:rPr>
            </w:pPr>
            <w:r w:rsidRPr="008601C9">
              <w:rPr>
                <w:rFonts w:ascii="Verdana" w:eastAsia="Calibri" w:hAnsi="Verdana" w:cs="Arial"/>
                <w:b/>
                <w:sz w:val="22"/>
                <w:szCs w:val="22"/>
                <w:lang w:eastAsia="en-US"/>
              </w:rPr>
              <w:t xml:space="preserve">Metodo della percentuale di completamento </w:t>
            </w:r>
          </w:p>
        </w:tc>
      </w:tr>
      <w:tr w:rsidR="00B77243" w:rsidRPr="00590C97" w14:paraId="63146EB0" w14:textId="77777777" w:rsidTr="00725B44">
        <w:tc>
          <w:tcPr>
            <w:tcW w:w="9889" w:type="dxa"/>
          </w:tcPr>
          <w:p w14:paraId="18D5F493" w14:textId="77777777" w:rsidR="00B77243" w:rsidRPr="00590C97" w:rsidRDefault="00B77243" w:rsidP="00B77243">
            <w:pPr>
              <w:numPr>
                <w:ilvl w:val="0"/>
                <w:numId w:val="10"/>
              </w:numPr>
              <w:spacing w:line="240" w:lineRule="exact"/>
              <w:contextualSpacing/>
              <w:jc w:val="both"/>
              <w:rPr>
                <w:rFonts w:ascii="Verdana" w:eastAsia="Calibri" w:hAnsi="Verdana" w:cs="Arial"/>
                <w:sz w:val="22"/>
                <w:szCs w:val="22"/>
                <w:lang w:eastAsia="en-US"/>
              </w:rPr>
            </w:pPr>
            <w:r w:rsidRPr="00590C97">
              <w:rPr>
                <w:rFonts w:ascii="Verdana" w:eastAsia="Calibri" w:hAnsi="Verdana" w:cs="Arial"/>
                <w:sz w:val="22"/>
                <w:szCs w:val="22"/>
                <w:lang w:eastAsia="en-US"/>
              </w:rPr>
              <w:t xml:space="preserve">Entrambi i precedenti   </w:t>
            </w:r>
          </w:p>
        </w:tc>
      </w:tr>
      <w:tr w:rsidR="00B77243" w:rsidRPr="00590C97" w14:paraId="3DC76F77" w14:textId="77777777" w:rsidTr="00725B44">
        <w:tc>
          <w:tcPr>
            <w:tcW w:w="9889" w:type="dxa"/>
          </w:tcPr>
          <w:p w14:paraId="21E73420" w14:textId="77777777" w:rsidR="00B77243" w:rsidRPr="00590C97" w:rsidRDefault="00B77243" w:rsidP="00B77243">
            <w:pPr>
              <w:numPr>
                <w:ilvl w:val="0"/>
                <w:numId w:val="10"/>
              </w:numPr>
              <w:spacing w:line="240" w:lineRule="exact"/>
              <w:contextualSpacing/>
              <w:jc w:val="both"/>
              <w:rPr>
                <w:rFonts w:ascii="Verdana" w:eastAsia="Calibri" w:hAnsi="Verdana" w:cs="Arial"/>
                <w:sz w:val="22"/>
                <w:szCs w:val="22"/>
                <w:lang w:eastAsia="en-US"/>
              </w:rPr>
            </w:pPr>
            <w:r w:rsidRPr="00590C97">
              <w:rPr>
                <w:rFonts w:ascii="Verdana" w:eastAsia="Calibri" w:hAnsi="Verdana" w:cs="Arial"/>
                <w:sz w:val="22"/>
                <w:szCs w:val="22"/>
                <w:lang w:eastAsia="en-US"/>
              </w:rPr>
              <w:t>Nessuno dei precedenti</w:t>
            </w:r>
          </w:p>
        </w:tc>
      </w:tr>
    </w:tbl>
    <w:p w14:paraId="178A47F2" w14:textId="77777777" w:rsidR="003113E6" w:rsidRPr="00F16560" w:rsidRDefault="003113E6" w:rsidP="003113E6">
      <w:pPr>
        <w:jc w:val="both"/>
        <w:rPr>
          <w:rFonts w:ascii="Verdana" w:hAnsi="Verdana" w:cs="Arial"/>
          <w:color w:val="000000" w:themeColor="text1"/>
          <w:sz w:val="22"/>
          <w:szCs w:val="22"/>
        </w:rPr>
      </w:pPr>
    </w:p>
    <w:p w14:paraId="6FFEF521" w14:textId="300CE3CA" w:rsidR="007206A4" w:rsidRDefault="00C05CBC" w:rsidP="007206A4">
      <w:pPr>
        <w:ind w:right="-1"/>
        <w:rPr>
          <w:rFonts w:ascii="Verdana" w:hAnsi="Verdana"/>
          <w:b/>
          <w:bCs/>
          <w:sz w:val="22"/>
          <w:szCs w:val="22"/>
        </w:rPr>
      </w:pPr>
      <w:r>
        <w:rPr>
          <w:rFonts w:ascii="Verdana" w:hAnsi="Verdana"/>
          <w:b/>
          <w:bCs/>
          <w:sz w:val="22"/>
          <w:szCs w:val="22"/>
        </w:rPr>
        <w:t>ESERCIZIO 2</w:t>
      </w:r>
    </w:p>
    <w:p w14:paraId="5D53844F" w14:textId="74280058" w:rsidR="00726017" w:rsidRPr="002D3315" w:rsidRDefault="00726017" w:rsidP="00726017">
      <w:pPr>
        <w:widowControl w:val="0"/>
        <w:autoSpaceDE w:val="0"/>
        <w:autoSpaceDN w:val="0"/>
        <w:adjustRightInd w:val="0"/>
        <w:spacing w:after="240" w:line="320" w:lineRule="atLeast"/>
        <w:jc w:val="both"/>
        <w:rPr>
          <w:rFonts w:ascii="Times" w:eastAsiaTheme="minorEastAsia" w:hAnsi="Times" w:cs="Times"/>
          <w:sz w:val="22"/>
          <w:szCs w:val="22"/>
        </w:rPr>
      </w:pPr>
      <w:r w:rsidRPr="002D3315">
        <w:rPr>
          <w:rFonts w:ascii="Verdana" w:eastAsiaTheme="minorEastAsia" w:hAnsi="Verdana" w:cs="Verdana"/>
          <w:sz w:val="22"/>
          <w:szCs w:val="22"/>
        </w:rPr>
        <w:t xml:space="preserve">1. Alfa valuta il proprio magazzino con il metodo del LIFO continuo. Durante l’ultimo anno le proprie merci subiscono le seguenti movimentazioni: </w:t>
      </w:r>
    </w:p>
    <w:p w14:paraId="298C99B0" w14:textId="210FBD94" w:rsidR="00EC4BD8" w:rsidRPr="002D3315" w:rsidRDefault="00726017" w:rsidP="00B77243">
      <w:pPr>
        <w:spacing w:line="360" w:lineRule="auto"/>
        <w:jc w:val="both"/>
        <w:rPr>
          <w:rFonts w:ascii="Arial" w:hAnsi="Arial" w:cs="Arial"/>
          <w:sz w:val="22"/>
          <w:szCs w:val="22"/>
        </w:rPr>
      </w:pPr>
      <w:r w:rsidRPr="002D3315">
        <w:rPr>
          <w:rFonts w:ascii="Arial" w:hAnsi="Arial" w:cs="Arial"/>
          <w:noProof/>
          <w:sz w:val="22"/>
          <w:szCs w:val="22"/>
        </w:rPr>
        <w:drawing>
          <wp:inline distT="0" distB="0" distL="0" distR="0" wp14:anchorId="7B3BE2A4" wp14:editId="5B763204">
            <wp:extent cx="6301105" cy="2783088"/>
            <wp:effectExtent l="0" t="0" r="0"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2783088"/>
                    </a:xfrm>
                    <a:prstGeom prst="rect">
                      <a:avLst/>
                    </a:prstGeom>
                    <a:noFill/>
                    <a:ln>
                      <a:noFill/>
                    </a:ln>
                  </pic:spPr>
                </pic:pic>
              </a:graphicData>
            </a:graphic>
          </wp:inline>
        </w:drawing>
      </w:r>
    </w:p>
    <w:p w14:paraId="10EB31A7" w14:textId="597C28C1" w:rsidR="002D3315" w:rsidRDefault="00726017" w:rsidP="00590C97">
      <w:pPr>
        <w:widowControl w:val="0"/>
        <w:autoSpaceDE w:val="0"/>
        <w:autoSpaceDN w:val="0"/>
        <w:adjustRightInd w:val="0"/>
        <w:spacing w:after="240" w:line="320" w:lineRule="atLeast"/>
        <w:jc w:val="both"/>
        <w:rPr>
          <w:rFonts w:ascii="Verdana" w:eastAsiaTheme="minorEastAsia" w:hAnsi="Verdana" w:cs="Verdana"/>
          <w:sz w:val="22"/>
          <w:szCs w:val="22"/>
        </w:rPr>
      </w:pPr>
      <w:r w:rsidRPr="002D3315">
        <w:rPr>
          <w:rFonts w:ascii="Verdana" w:eastAsiaTheme="minorEastAsia" w:hAnsi="Verdana" w:cs="Verdana"/>
          <w:sz w:val="22"/>
          <w:szCs w:val="22"/>
        </w:rPr>
        <w:t xml:space="preserve">Determinare la consistenza complessiva delle rimanenze finali di magazzino con opportuna rappresentazione nelle corrispondenti voci di bilancio, sapendo che il presumibile valore di realizzo al 31/12 è pari a </w:t>
      </w:r>
      <w:r w:rsidR="009C0F32" w:rsidRPr="002D3315">
        <w:rPr>
          <w:rFonts w:ascii="Verdana" w:eastAsiaTheme="minorEastAsia" w:hAnsi="Verdana" w:cs="Verdana"/>
          <w:sz w:val="22"/>
          <w:szCs w:val="22"/>
        </w:rPr>
        <w:t>10</w:t>
      </w:r>
      <w:r w:rsidRPr="002D3315">
        <w:rPr>
          <w:rFonts w:ascii="Verdana" w:eastAsiaTheme="minorEastAsia" w:hAnsi="Verdana" w:cs="Verdana"/>
          <w:sz w:val="22"/>
          <w:szCs w:val="22"/>
        </w:rPr>
        <w:t xml:space="preserve"> euro per unità. </w:t>
      </w:r>
    </w:p>
    <w:p w14:paraId="0B345872" w14:textId="28488812" w:rsidR="00C05CBC" w:rsidRDefault="00C05CBC" w:rsidP="00590C97">
      <w:pPr>
        <w:widowControl w:val="0"/>
        <w:autoSpaceDE w:val="0"/>
        <w:autoSpaceDN w:val="0"/>
        <w:adjustRightInd w:val="0"/>
        <w:spacing w:after="240" w:line="320" w:lineRule="atLeast"/>
        <w:jc w:val="both"/>
        <w:rPr>
          <w:rFonts w:ascii="Verdana" w:eastAsiaTheme="minorEastAsia" w:hAnsi="Verdana" w:cs="Verdana"/>
          <w:sz w:val="22"/>
          <w:szCs w:val="22"/>
        </w:rPr>
      </w:pPr>
      <w:r w:rsidRPr="00C05CBC">
        <w:rPr>
          <w:rFonts w:eastAsiaTheme="minorEastAsia"/>
        </w:rPr>
        <w:drawing>
          <wp:inline distT="0" distB="0" distL="0" distR="0" wp14:anchorId="6F10DE9C" wp14:editId="7E3826E2">
            <wp:extent cx="3917950" cy="149225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7950" cy="1492250"/>
                    </a:xfrm>
                    <a:prstGeom prst="rect">
                      <a:avLst/>
                    </a:prstGeom>
                    <a:noFill/>
                    <a:ln>
                      <a:noFill/>
                    </a:ln>
                  </pic:spPr>
                </pic:pic>
              </a:graphicData>
            </a:graphic>
          </wp:inline>
        </w:drawing>
      </w:r>
    </w:p>
    <w:p w14:paraId="0198F5A8" w14:textId="06C48E36" w:rsidR="00C05CBC" w:rsidRDefault="00C05CBC" w:rsidP="00590C97">
      <w:pPr>
        <w:widowControl w:val="0"/>
        <w:autoSpaceDE w:val="0"/>
        <w:autoSpaceDN w:val="0"/>
        <w:adjustRightInd w:val="0"/>
        <w:spacing w:after="240" w:line="320" w:lineRule="atLeast"/>
        <w:jc w:val="both"/>
        <w:rPr>
          <w:rFonts w:ascii="Verdana" w:eastAsiaTheme="minorEastAsia" w:hAnsi="Verdana" w:cs="Verdana"/>
          <w:sz w:val="22"/>
          <w:szCs w:val="22"/>
        </w:rPr>
      </w:pPr>
      <w:r w:rsidRPr="00C05CBC">
        <w:rPr>
          <w:rFonts w:eastAsiaTheme="minorEastAsia"/>
        </w:rPr>
        <w:drawing>
          <wp:inline distT="0" distB="0" distL="0" distR="0" wp14:anchorId="71D4F2B7" wp14:editId="4D47492C">
            <wp:extent cx="4000500" cy="147955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1479550"/>
                    </a:xfrm>
                    <a:prstGeom prst="rect">
                      <a:avLst/>
                    </a:prstGeom>
                    <a:noFill/>
                    <a:ln>
                      <a:noFill/>
                    </a:ln>
                  </pic:spPr>
                </pic:pic>
              </a:graphicData>
            </a:graphic>
          </wp:inline>
        </w:drawing>
      </w:r>
    </w:p>
    <w:p w14:paraId="3D906BE2" w14:textId="6CC3A4FB" w:rsidR="00C05CBC" w:rsidRDefault="00C05CBC" w:rsidP="00590C97">
      <w:pPr>
        <w:widowControl w:val="0"/>
        <w:autoSpaceDE w:val="0"/>
        <w:autoSpaceDN w:val="0"/>
        <w:adjustRightInd w:val="0"/>
        <w:spacing w:after="240" w:line="320" w:lineRule="atLeast"/>
        <w:jc w:val="both"/>
        <w:rPr>
          <w:rFonts w:ascii="Verdana" w:eastAsiaTheme="minorEastAsia" w:hAnsi="Verdana" w:cs="Verdana"/>
          <w:sz w:val="22"/>
          <w:szCs w:val="22"/>
        </w:rPr>
      </w:pPr>
      <w:r w:rsidRPr="00C05CBC">
        <w:rPr>
          <w:rFonts w:eastAsiaTheme="minorEastAsia"/>
        </w:rPr>
        <w:drawing>
          <wp:inline distT="0" distB="0" distL="0" distR="0" wp14:anchorId="3D7CAAAC" wp14:editId="61BF8734">
            <wp:extent cx="2781300" cy="387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387350"/>
                    </a:xfrm>
                    <a:prstGeom prst="rect">
                      <a:avLst/>
                    </a:prstGeom>
                    <a:noFill/>
                    <a:ln>
                      <a:noFill/>
                    </a:ln>
                  </pic:spPr>
                </pic:pic>
              </a:graphicData>
            </a:graphic>
          </wp:inline>
        </w:drawing>
      </w:r>
    </w:p>
    <w:p w14:paraId="289D11C5" w14:textId="34FEE839" w:rsidR="00C05CBC" w:rsidRPr="00590C97" w:rsidRDefault="00C05CBC" w:rsidP="00C05CBC">
      <w:pPr>
        <w:widowControl w:val="0"/>
        <w:autoSpaceDE w:val="0"/>
        <w:autoSpaceDN w:val="0"/>
        <w:adjustRightInd w:val="0"/>
        <w:spacing w:after="240" w:line="320" w:lineRule="atLeast"/>
        <w:jc w:val="center"/>
        <w:rPr>
          <w:rFonts w:ascii="Verdana" w:eastAsiaTheme="minorEastAsia" w:hAnsi="Verdana" w:cs="Verdana"/>
          <w:sz w:val="22"/>
          <w:szCs w:val="22"/>
        </w:rPr>
      </w:pPr>
      <w:bookmarkStart w:id="0" w:name="_GoBack"/>
      <w:r w:rsidRPr="00C05CBC">
        <w:rPr>
          <w:rFonts w:eastAsiaTheme="minorEastAsia"/>
        </w:rPr>
        <w:lastRenderedPageBreak/>
        <w:drawing>
          <wp:inline distT="0" distB="0" distL="0" distR="0" wp14:anchorId="42521F05" wp14:editId="47BCE736">
            <wp:extent cx="2444750" cy="2844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750" cy="2844800"/>
                    </a:xfrm>
                    <a:prstGeom prst="rect">
                      <a:avLst/>
                    </a:prstGeom>
                    <a:noFill/>
                    <a:ln>
                      <a:noFill/>
                    </a:ln>
                  </pic:spPr>
                </pic:pic>
              </a:graphicData>
            </a:graphic>
          </wp:inline>
        </w:drawing>
      </w:r>
      <w:bookmarkEnd w:id="0"/>
    </w:p>
    <w:sectPr w:rsidR="00C05CBC" w:rsidRPr="00590C97" w:rsidSect="004C2D00">
      <w:headerReference w:type="even" r:id="rId13"/>
      <w:headerReference w:type="default" r:id="rId14"/>
      <w:footerReference w:type="even" r:id="rId15"/>
      <w:footerReference w:type="default" r:id="rId16"/>
      <w:headerReference w:type="first" r:id="rId17"/>
      <w:footerReference w:type="first" r:id="rId18"/>
      <w:pgSz w:w="11900" w:h="16840"/>
      <w:pgMar w:top="1276" w:right="701"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A50C0" w14:textId="77777777" w:rsidR="00304D3E" w:rsidRDefault="00304D3E">
      <w:r>
        <w:separator/>
      </w:r>
    </w:p>
  </w:endnote>
  <w:endnote w:type="continuationSeparator" w:id="0">
    <w:p w14:paraId="2DFB2271" w14:textId="77777777" w:rsidR="00304D3E" w:rsidRDefault="0030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4FBC" w14:textId="77777777" w:rsidR="00E04AD8" w:rsidRDefault="00E04AD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35C1712A" w:rsidR="00BE0EC7" w:rsidRDefault="00BE0EC7">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C05CBC">
          <w:rPr>
            <w:rFonts w:ascii="Verdana" w:hAnsi="Verdana"/>
            <w:noProof/>
            <w:sz w:val="18"/>
          </w:rPr>
          <w:t>3</w:t>
        </w:r>
        <w:r>
          <w:rPr>
            <w:rFonts w:ascii="Verdana" w:hAnsi="Verdana"/>
            <w:sz w:val="18"/>
          </w:rPr>
          <w:fldChar w:fldCharType="end"/>
        </w:r>
      </w:p>
    </w:sdtContent>
  </w:sdt>
  <w:p w14:paraId="08F18B98" w14:textId="77777777" w:rsidR="00BE0EC7" w:rsidRDefault="00BE0EC7">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78F38" w14:textId="77777777" w:rsidR="00E04AD8" w:rsidRDefault="00E04A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8B633" w14:textId="77777777" w:rsidR="00304D3E" w:rsidRDefault="00304D3E">
      <w:r>
        <w:separator/>
      </w:r>
    </w:p>
  </w:footnote>
  <w:footnote w:type="continuationSeparator" w:id="0">
    <w:p w14:paraId="411976ED" w14:textId="77777777" w:rsidR="00304D3E" w:rsidRDefault="0030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A00F" w14:textId="77777777" w:rsidR="00E04AD8" w:rsidRDefault="00E04AD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79BAA011" w:rsidR="00BE0EC7" w:rsidRPr="00E04AD8" w:rsidRDefault="00BE0EC7" w:rsidP="00E04AD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5B1D" w14:textId="77777777" w:rsidR="00E04AD8" w:rsidRDefault="00E04A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 w15:restartNumberingAfterBreak="0">
    <w:nsid w:val="14B93E2B"/>
    <w:multiLevelType w:val="multilevel"/>
    <w:tmpl w:val="762A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32436"/>
    <w:multiLevelType w:val="hybridMultilevel"/>
    <w:tmpl w:val="D730D40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1C5D76"/>
    <w:multiLevelType w:val="hybridMultilevel"/>
    <w:tmpl w:val="920C5B38"/>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CC6315"/>
    <w:multiLevelType w:val="hybridMultilevel"/>
    <w:tmpl w:val="10D058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D7351"/>
    <w:multiLevelType w:val="hybridMultilevel"/>
    <w:tmpl w:val="5C5A6C28"/>
    <w:lvl w:ilvl="0" w:tplc="BC1C21A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BA512D"/>
    <w:multiLevelType w:val="multilevel"/>
    <w:tmpl w:val="4A18DED0"/>
    <w:lvl w:ilvl="0">
      <w:start w:val="1"/>
      <w:numFmt w:val="lowerRoman"/>
      <w:lvlText w:val="%1."/>
      <w:lvlJc w:val="right"/>
      <w:pPr>
        <w:ind w:left="502"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1" w15:restartNumberingAfterBreak="0">
    <w:nsid w:val="51637D74"/>
    <w:multiLevelType w:val="multilevel"/>
    <w:tmpl w:val="218A2518"/>
    <w:lvl w:ilvl="0">
      <w:start w:val="15"/>
      <w:numFmt w:val="decimal"/>
      <w:lvlText w:val="%1."/>
      <w:lvlJc w:val="left"/>
      <w:pPr>
        <w:ind w:left="517" w:hanging="375"/>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2" w15:restartNumberingAfterBreak="0">
    <w:nsid w:val="55F27777"/>
    <w:multiLevelType w:val="hybridMultilevel"/>
    <w:tmpl w:val="CE54F7E0"/>
    <w:lvl w:ilvl="0" w:tplc="062AC1A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F32D93"/>
    <w:multiLevelType w:val="hybridMultilevel"/>
    <w:tmpl w:val="D5BC206E"/>
    <w:lvl w:ilvl="0" w:tplc="1FDA38FC">
      <w:start w:val="4"/>
      <w:numFmt w:val="decimal"/>
      <w:lvlText w:val="%1."/>
      <w:lvlJc w:val="left"/>
      <w:pPr>
        <w:ind w:left="502" w:hanging="360"/>
      </w:pPr>
      <w:rPr>
        <w:rFonts w:hint="default"/>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6C9847A3"/>
    <w:multiLevelType w:val="hybridMultilevel"/>
    <w:tmpl w:val="14AEA7C4"/>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17"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18"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6"/>
  </w:num>
  <w:num w:numId="4">
    <w:abstractNumId w:val="9"/>
  </w:num>
  <w:num w:numId="5">
    <w:abstractNumId w:val="6"/>
  </w:num>
  <w:num w:numId="6">
    <w:abstractNumId w:val="1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3"/>
  </w:num>
  <w:num w:numId="11">
    <w:abstractNumId w:val="14"/>
  </w:num>
  <w:num w:numId="12">
    <w:abstractNumId w:val="13"/>
  </w:num>
  <w:num w:numId="13">
    <w:abstractNumId w:val="11"/>
  </w:num>
  <w:num w:numId="14">
    <w:abstractNumId w:val="10"/>
  </w:num>
  <w:num w:numId="15">
    <w:abstractNumId w:val="2"/>
  </w:num>
  <w:num w:numId="16">
    <w:abstractNumId w:val="8"/>
  </w:num>
  <w:num w:numId="17">
    <w:abstractNumId w:val="5"/>
  </w:num>
  <w:num w:numId="18">
    <w:abstractNumId w:val="0"/>
  </w:num>
  <w:num w:numId="19">
    <w:abstractNumId w:val="7"/>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81A46"/>
    <w:rsid w:val="00087DA3"/>
    <w:rsid w:val="000D1B75"/>
    <w:rsid w:val="000E36D0"/>
    <w:rsid w:val="00133666"/>
    <w:rsid w:val="001512C9"/>
    <w:rsid w:val="00157424"/>
    <w:rsid w:val="00171BCB"/>
    <w:rsid w:val="001830BA"/>
    <w:rsid w:val="001E7D09"/>
    <w:rsid w:val="002145AA"/>
    <w:rsid w:val="002416FB"/>
    <w:rsid w:val="0025614B"/>
    <w:rsid w:val="0028266E"/>
    <w:rsid w:val="00297C9B"/>
    <w:rsid w:val="002B1C25"/>
    <w:rsid w:val="002B428A"/>
    <w:rsid w:val="002D3315"/>
    <w:rsid w:val="00304D3E"/>
    <w:rsid w:val="003113E6"/>
    <w:rsid w:val="003149CC"/>
    <w:rsid w:val="003268E9"/>
    <w:rsid w:val="0035063A"/>
    <w:rsid w:val="00354C2F"/>
    <w:rsid w:val="00360684"/>
    <w:rsid w:val="00386F22"/>
    <w:rsid w:val="00397C5C"/>
    <w:rsid w:val="003C6C2C"/>
    <w:rsid w:val="003E5D9C"/>
    <w:rsid w:val="003E5EE7"/>
    <w:rsid w:val="00421FB0"/>
    <w:rsid w:val="00433CFC"/>
    <w:rsid w:val="00447B58"/>
    <w:rsid w:val="00483B04"/>
    <w:rsid w:val="00487662"/>
    <w:rsid w:val="00495736"/>
    <w:rsid w:val="00497E91"/>
    <w:rsid w:val="004A09E1"/>
    <w:rsid w:val="004B238D"/>
    <w:rsid w:val="004B5A6B"/>
    <w:rsid w:val="004C2D00"/>
    <w:rsid w:val="004E3B45"/>
    <w:rsid w:val="005123C1"/>
    <w:rsid w:val="00515070"/>
    <w:rsid w:val="005266E9"/>
    <w:rsid w:val="00530CBC"/>
    <w:rsid w:val="005622F2"/>
    <w:rsid w:val="00590C97"/>
    <w:rsid w:val="00595DC1"/>
    <w:rsid w:val="005B0730"/>
    <w:rsid w:val="005B2A7C"/>
    <w:rsid w:val="005C06E5"/>
    <w:rsid w:val="005E2355"/>
    <w:rsid w:val="005E3DF5"/>
    <w:rsid w:val="005E50A4"/>
    <w:rsid w:val="006244AC"/>
    <w:rsid w:val="006465F8"/>
    <w:rsid w:val="00686C1B"/>
    <w:rsid w:val="006C01F4"/>
    <w:rsid w:val="006C3B3A"/>
    <w:rsid w:val="006D5AE4"/>
    <w:rsid w:val="006E3CF1"/>
    <w:rsid w:val="007206A4"/>
    <w:rsid w:val="00724FAB"/>
    <w:rsid w:val="00725B44"/>
    <w:rsid w:val="00726017"/>
    <w:rsid w:val="0073048B"/>
    <w:rsid w:val="00731608"/>
    <w:rsid w:val="00737316"/>
    <w:rsid w:val="0079109A"/>
    <w:rsid w:val="007A111B"/>
    <w:rsid w:val="007A6608"/>
    <w:rsid w:val="007D062C"/>
    <w:rsid w:val="007D3CA1"/>
    <w:rsid w:val="0080678B"/>
    <w:rsid w:val="0082235B"/>
    <w:rsid w:val="008601C9"/>
    <w:rsid w:val="00862D0F"/>
    <w:rsid w:val="00867568"/>
    <w:rsid w:val="008703BE"/>
    <w:rsid w:val="0088233B"/>
    <w:rsid w:val="00894290"/>
    <w:rsid w:val="008A176F"/>
    <w:rsid w:val="008B0ACC"/>
    <w:rsid w:val="009139F0"/>
    <w:rsid w:val="00922A4D"/>
    <w:rsid w:val="009377FA"/>
    <w:rsid w:val="00937BA4"/>
    <w:rsid w:val="00977FAA"/>
    <w:rsid w:val="009827EE"/>
    <w:rsid w:val="00983C9C"/>
    <w:rsid w:val="009C0F32"/>
    <w:rsid w:val="009D52AE"/>
    <w:rsid w:val="009F2DA3"/>
    <w:rsid w:val="00A33853"/>
    <w:rsid w:val="00A54099"/>
    <w:rsid w:val="00A56AFF"/>
    <w:rsid w:val="00A56FF5"/>
    <w:rsid w:val="00AC1E86"/>
    <w:rsid w:val="00AF645D"/>
    <w:rsid w:val="00B11168"/>
    <w:rsid w:val="00B23A0B"/>
    <w:rsid w:val="00B308F2"/>
    <w:rsid w:val="00B31965"/>
    <w:rsid w:val="00B475FD"/>
    <w:rsid w:val="00B62755"/>
    <w:rsid w:val="00B762B4"/>
    <w:rsid w:val="00B77243"/>
    <w:rsid w:val="00B9540F"/>
    <w:rsid w:val="00B96810"/>
    <w:rsid w:val="00B9688D"/>
    <w:rsid w:val="00BB1183"/>
    <w:rsid w:val="00BC56BC"/>
    <w:rsid w:val="00BE0EC7"/>
    <w:rsid w:val="00C006B8"/>
    <w:rsid w:val="00C05CBC"/>
    <w:rsid w:val="00C40C29"/>
    <w:rsid w:val="00C57F3C"/>
    <w:rsid w:val="00C8339B"/>
    <w:rsid w:val="00C936E6"/>
    <w:rsid w:val="00CB7E47"/>
    <w:rsid w:val="00D2482B"/>
    <w:rsid w:val="00D26792"/>
    <w:rsid w:val="00DA1FD8"/>
    <w:rsid w:val="00DD14A4"/>
    <w:rsid w:val="00DF28C1"/>
    <w:rsid w:val="00DF74DD"/>
    <w:rsid w:val="00E04AD8"/>
    <w:rsid w:val="00E22BFA"/>
    <w:rsid w:val="00E27E16"/>
    <w:rsid w:val="00E36F73"/>
    <w:rsid w:val="00E9096D"/>
    <w:rsid w:val="00EB7244"/>
    <w:rsid w:val="00EC4BD8"/>
    <w:rsid w:val="00F07A46"/>
    <w:rsid w:val="00F2722C"/>
    <w:rsid w:val="00F428DB"/>
    <w:rsid w:val="00F62ECA"/>
    <w:rsid w:val="00F656A1"/>
    <w:rsid w:val="00FB1DEC"/>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5F545385-37E9-4574-A8DA-FACE8317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56FF5"/>
    <w:pPr>
      <w:spacing w:before="100" w:beforeAutospacing="1" w:after="100" w:afterAutospacing="1"/>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177432666">
      <w:bodyDiv w:val="1"/>
      <w:marLeft w:val="0"/>
      <w:marRight w:val="0"/>
      <w:marTop w:val="0"/>
      <w:marBottom w:val="0"/>
      <w:divBdr>
        <w:top w:val="none" w:sz="0" w:space="0" w:color="auto"/>
        <w:left w:val="none" w:sz="0" w:space="0" w:color="auto"/>
        <w:bottom w:val="none" w:sz="0" w:space="0" w:color="auto"/>
        <w:right w:val="none" w:sz="0" w:space="0" w:color="auto"/>
      </w:divBdr>
    </w:div>
    <w:div w:id="191574570">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023481761">
      <w:bodyDiv w:val="1"/>
      <w:marLeft w:val="0"/>
      <w:marRight w:val="0"/>
      <w:marTop w:val="0"/>
      <w:marBottom w:val="0"/>
      <w:divBdr>
        <w:top w:val="none" w:sz="0" w:space="0" w:color="auto"/>
        <w:left w:val="none" w:sz="0" w:space="0" w:color="auto"/>
        <w:bottom w:val="none" w:sz="0" w:space="0" w:color="auto"/>
        <w:right w:val="none" w:sz="0" w:space="0" w:color="auto"/>
      </w:divBdr>
    </w:div>
    <w:div w:id="1025205939">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04755166">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54721417">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399013521">
      <w:bodyDiv w:val="1"/>
      <w:marLeft w:val="0"/>
      <w:marRight w:val="0"/>
      <w:marTop w:val="0"/>
      <w:marBottom w:val="0"/>
      <w:divBdr>
        <w:top w:val="none" w:sz="0" w:space="0" w:color="auto"/>
        <w:left w:val="none" w:sz="0" w:space="0" w:color="auto"/>
        <w:bottom w:val="none" w:sz="0" w:space="0" w:color="auto"/>
        <w:right w:val="none" w:sz="0" w:space="0" w:color="auto"/>
      </w:divBdr>
      <w:divsChild>
        <w:div w:id="961694777">
          <w:marLeft w:val="0"/>
          <w:marRight w:val="0"/>
          <w:marTop w:val="0"/>
          <w:marBottom w:val="0"/>
          <w:divBdr>
            <w:top w:val="none" w:sz="0" w:space="0" w:color="auto"/>
            <w:left w:val="none" w:sz="0" w:space="0" w:color="auto"/>
            <w:bottom w:val="none" w:sz="0" w:space="0" w:color="auto"/>
            <w:right w:val="none" w:sz="0" w:space="0" w:color="auto"/>
          </w:divBdr>
          <w:divsChild>
            <w:div w:id="455485461">
              <w:marLeft w:val="0"/>
              <w:marRight w:val="0"/>
              <w:marTop w:val="0"/>
              <w:marBottom w:val="0"/>
              <w:divBdr>
                <w:top w:val="none" w:sz="0" w:space="0" w:color="auto"/>
                <w:left w:val="none" w:sz="0" w:space="0" w:color="auto"/>
                <w:bottom w:val="none" w:sz="0" w:space="0" w:color="auto"/>
                <w:right w:val="none" w:sz="0" w:space="0" w:color="auto"/>
              </w:divBdr>
              <w:divsChild>
                <w:div w:id="11954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26234995">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050956715">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EE7D-C5F1-469A-BB66-5AE74A08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509</Words>
  <Characters>2906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6</cp:revision>
  <cp:lastPrinted>2016-09-09T09:12:00Z</cp:lastPrinted>
  <dcterms:created xsi:type="dcterms:W3CDTF">2017-10-31T15:51:00Z</dcterms:created>
  <dcterms:modified xsi:type="dcterms:W3CDTF">2020-09-28T08:02:00Z</dcterms:modified>
</cp:coreProperties>
</file>