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E64F1" w14:textId="77777777" w:rsidR="00E22BFA" w:rsidRPr="00BA4A1E" w:rsidRDefault="00E22BFA" w:rsidP="00E22BFA">
      <w:pPr>
        <w:jc w:val="both"/>
        <w:rPr>
          <w:rFonts w:ascii="Verdana" w:hAnsi="Verdana"/>
          <w:color w:val="000000" w:themeColor="text1"/>
          <w:sz w:val="22"/>
          <w:szCs w:val="22"/>
        </w:rPr>
      </w:pPr>
    </w:p>
    <w:p w14:paraId="69007669" w14:textId="77777777" w:rsidR="00582FB5" w:rsidRPr="00BA4A1E" w:rsidRDefault="00582FB5">
      <w:pPr>
        <w:rPr>
          <w:rFonts w:ascii="Verdana" w:hAnsi="Verdana"/>
          <w:color w:val="000000" w:themeColor="text1"/>
          <w:sz w:val="22"/>
          <w:szCs w:val="22"/>
          <w:u w:val="single"/>
        </w:rPr>
      </w:pPr>
      <w:bookmarkStart w:id="0" w:name="_GoBack"/>
      <w:bookmarkEnd w:id="0"/>
    </w:p>
    <w:p w14:paraId="3C261B5F" w14:textId="77777777" w:rsidR="00CA6670" w:rsidRPr="00BA4A1E" w:rsidRDefault="00CA6670" w:rsidP="00CA6670">
      <w:pPr>
        <w:jc w:val="both"/>
        <w:rPr>
          <w:rFonts w:ascii="Verdana" w:hAnsi="Verdana"/>
          <w:color w:val="000000" w:themeColor="text1"/>
          <w:sz w:val="22"/>
          <w:szCs w:val="22"/>
        </w:rPr>
      </w:pPr>
      <w:r w:rsidRPr="00BA4A1E">
        <w:rPr>
          <w:rFonts w:ascii="Verdana" w:hAnsi="Verdana"/>
          <w:color w:val="000000" w:themeColor="text1"/>
          <w:sz w:val="22"/>
          <w:szCs w:val="22"/>
        </w:rPr>
        <w:t>Cognome Nome e matricola ____________________________________</w:t>
      </w:r>
    </w:p>
    <w:p w14:paraId="1CF4E62D" w14:textId="77777777" w:rsidR="00CA6670" w:rsidRPr="00BA4A1E" w:rsidRDefault="00CA6670" w:rsidP="00CA6670">
      <w:pPr>
        <w:jc w:val="center"/>
        <w:rPr>
          <w:rFonts w:ascii="Verdana" w:hAnsi="Verdana"/>
          <w:color w:val="000000" w:themeColor="text1"/>
          <w:sz w:val="22"/>
          <w:szCs w:val="22"/>
        </w:rPr>
      </w:pPr>
    </w:p>
    <w:p w14:paraId="7A2F1DF1" w14:textId="6F77485F" w:rsidR="00CA6670" w:rsidRPr="00BA4A1E" w:rsidRDefault="00CA6670" w:rsidP="00CA6670">
      <w:pPr>
        <w:pStyle w:val="Intestazione"/>
        <w:jc w:val="center"/>
        <w:rPr>
          <w:rFonts w:ascii="Verdana" w:hAnsi="Verdana"/>
          <w:color w:val="000000" w:themeColor="text1"/>
          <w:sz w:val="28"/>
          <w:szCs w:val="24"/>
        </w:rPr>
      </w:pPr>
      <w:r w:rsidRPr="00BA4A1E">
        <w:rPr>
          <w:rFonts w:ascii="Verdana" w:hAnsi="Verdana"/>
          <w:color w:val="000000" w:themeColor="text1"/>
          <w:sz w:val="24"/>
          <w:szCs w:val="24"/>
        </w:rPr>
        <w:t xml:space="preserve">Prova scritta del 20/01/2017 </w:t>
      </w:r>
      <w:r w:rsidRPr="00BA4A1E">
        <w:rPr>
          <w:rFonts w:ascii="Verdana" w:hAnsi="Verdana"/>
          <w:color w:val="000000" w:themeColor="text1"/>
          <w:sz w:val="28"/>
          <w:szCs w:val="24"/>
        </w:rPr>
        <w:t>- Fila B</w:t>
      </w:r>
    </w:p>
    <w:p w14:paraId="3A07C83D" w14:textId="77777777" w:rsidR="00CA6670" w:rsidRPr="00BA4A1E" w:rsidRDefault="00CA6670" w:rsidP="00AC0267">
      <w:pPr>
        <w:ind w:right="-1"/>
        <w:rPr>
          <w:rFonts w:ascii="Verdana" w:hAnsi="Verdana"/>
          <w:bCs/>
          <w:color w:val="000000" w:themeColor="text1"/>
          <w:sz w:val="22"/>
          <w:szCs w:val="22"/>
        </w:rPr>
      </w:pPr>
    </w:p>
    <w:p w14:paraId="78D91A5C" w14:textId="77777777" w:rsidR="00134B64" w:rsidRPr="00BA4A1E" w:rsidRDefault="00134B64">
      <w:pPr>
        <w:rPr>
          <w:rFonts w:ascii="Verdana" w:hAnsi="Verdana"/>
          <w:bCs/>
          <w:color w:val="000000" w:themeColor="text1"/>
          <w:sz w:val="22"/>
          <w:szCs w:val="22"/>
        </w:rPr>
      </w:pPr>
    </w:p>
    <w:p w14:paraId="7C03D2ED" w14:textId="7FFF4962" w:rsidR="00B66628" w:rsidRPr="00BA4A1E" w:rsidRDefault="00B66628" w:rsidP="00B66628">
      <w:pPr>
        <w:spacing w:line="240" w:lineRule="exact"/>
        <w:jc w:val="both"/>
        <w:rPr>
          <w:rFonts w:ascii="Verdana" w:hAnsi="Verdana" w:cs="Arial"/>
          <w:color w:val="000000" w:themeColor="text1"/>
          <w:sz w:val="22"/>
          <w:szCs w:val="22"/>
        </w:rPr>
      </w:pPr>
      <w:r w:rsidRPr="00BA4A1E">
        <w:rPr>
          <w:rFonts w:ascii="Verdana" w:hAnsi="Verdana"/>
          <w:color w:val="000000" w:themeColor="text1"/>
          <w:sz w:val="22"/>
          <w:szCs w:val="22"/>
        </w:rPr>
        <w:t xml:space="preserve">1. </w:t>
      </w:r>
      <w:r w:rsidRPr="00BA4A1E">
        <w:rPr>
          <w:rFonts w:ascii="Verdana" w:hAnsi="Verdana" w:cs="Arial"/>
          <w:color w:val="000000" w:themeColor="text1"/>
          <w:sz w:val="22"/>
          <w:szCs w:val="22"/>
        </w:rPr>
        <w:t xml:space="preserve">L’avviamento va ammortizzato lungo la vita </w:t>
      </w:r>
      <w:r w:rsidR="00405008">
        <w:rPr>
          <w:rFonts w:ascii="Verdana" w:hAnsi="Verdana" w:cs="Arial"/>
          <w:color w:val="000000" w:themeColor="text1"/>
          <w:sz w:val="22"/>
          <w:szCs w:val="22"/>
        </w:rPr>
        <w:t>utile</w:t>
      </w:r>
      <w:r w:rsidRPr="00BA4A1E">
        <w:rPr>
          <w:rFonts w:ascii="Verdana" w:hAnsi="Verdana" w:cs="Arial"/>
          <w:color w:val="000000" w:themeColor="text1"/>
          <w:sz w:val="22"/>
          <w:szCs w:val="22"/>
        </w:rPr>
        <w:t xml:space="preserve"> e comunque non oltre: </w:t>
      </w:r>
    </w:p>
    <w:p w14:paraId="39BFC4A3"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5 anni</w:t>
      </w:r>
    </w:p>
    <w:p w14:paraId="0CE7627B"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10 anni</w:t>
      </w:r>
    </w:p>
    <w:p w14:paraId="23B9C42E"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18 anni</w:t>
      </w:r>
    </w:p>
    <w:p w14:paraId="28A7D4BB"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20 anni</w:t>
      </w:r>
    </w:p>
    <w:p w14:paraId="4998D05E" w14:textId="77777777" w:rsidR="00B66628" w:rsidRPr="00BA4A1E" w:rsidRDefault="00B66628" w:rsidP="00B66628">
      <w:pPr>
        <w:spacing w:line="240" w:lineRule="exact"/>
        <w:jc w:val="both"/>
        <w:rPr>
          <w:rFonts w:ascii="Verdana" w:hAnsi="Verdana" w:cs="Arial"/>
          <w:color w:val="000000" w:themeColor="text1"/>
          <w:sz w:val="22"/>
          <w:szCs w:val="22"/>
        </w:rPr>
      </w:pPr>
    </w:p>
    <w:tbl>
      <w:tblPr>
        <w:tblW w:w="0" w:type="auto"/>
        <w:tblLook w:val="04A0" w:firstRow="1" w:lastRow="0" w:firstColumn="1" w:lastColumn="0" w:noHBand="0" w:noVBand="1"/>
      </w:tblPr>
      <w:tblGrid>
        <w:gridCol w:w="8750"/>
      </w:tblGrid>
      <w:tr w:rsidR="00B66628" w:rsidRPr="00BA4A1E" w14:paraId="2CB1BEA7" w14:textId="77777777" w:rsidTr="00C000E6">
        <w:trPr>
          <w:trHeight w:val="441"/>
        </w:trPr>
        <w:tc>
          <w:tcPr>
            <w:tcW w:w="0" w:type="auto"/>
          </w:tcPr>
          <w:p w14:paraId="067E761A" w14:textId="550443DB" w:rsidR="00B66628" w:rsidRPr="00BA4A1E" w:rsidRDefault="00B66628" w:rsidP="00C000E6">
            <w:pPr>
              <w:jc w:val="both"/>
              <w:rPr>
                <w:rFonts w:ascii="Verdana" w:hAnsi="Verdana" w:cs="Arial"/>
                <w:color w:val="000000" w:themeColor="text1"/>
                <w:sz w:val="22"/>
                <w:szCs w:val="22"/>
              </w:rPr>
            </w:pPr>
            <w:r w:rsidRPr="00BA4A1E">
              <w:rPr>
                <w:rFonts w:ascii="Verdana" w:hAnsi="Verdana"/>
                <w:color w:val="000000" w:themeColor="text1"/>
                <w:sz w:val="22"/>
              </w:rPr>
              <w:t xml:space="preserve">2. </w:t>
            </w:r>
            <w:r w:rsidRPr="00BA4A1E">
              <w:rPr>
                <w:rFonts w:ascii="Verdana" w:hAnsi="Verdana" w:cs="Arial"/>
                <w:color w:val="000000" w:themeColor="text1"/>
                <w:sz w:val="22"/>
                <w:szCs w:val="22"/>
              </w:rPr>
              <w:t>La riserva legale al 31/12/X può includere solo utili realizzati fino all’anno:</w:t>
            </w:r>
          </w:p>
          <w:p w14:paraId="3C856FA7" w14:textId="77777777" w:rsidR="00B66628" w:rsidRPr="00BA4A1E" w:rsidRDefault="00B66628" w:rsidP="00C000E6">
            <w:pPr>
              <w:numPr>
                <w:ilvl w:val="0"/>
                <w:numId w:val="1"/>
              </w:numPr>
              <w:jc w:val="both"/>
              <w:rPr>
                <w:rFonts w:ascii="Verdana" w:hAnsi="Verdana" w:cs="Arial"/>
                <w:color w:val="000000" w:themeColor="text1"/>
                <w:sz w:val="22"/>
                <w:szCs w:val="22"/>
              </w:rPr>
            </w:pPr>
            <w:r w:rsidRPr="00BA4A1E">
              <w:rPr>
                <w:rFonts w:ascii="Verdana" w:hAnsi="Verdana" w:cs="Arial"/>
                <w:color w:val="000000" w:themeColor="text1"/>
                <w:sz w:val="22"/>
                <w:szCs w:val="22"/>
              </w:rPr>
              <w:t>X</w:t>
            </w:r>
          </w:p>
          <w:p w14:paraId="661939F3" w14:textId="77777777" w:rsidR="00B66628" w:rsidRPr="00BA4A1E" w:rsidRDefault="00B66628" w:rsidP="00C000E6">
            <w:pPr>
              <w:numPr>
                <w:ilvl w:val="0"/>
                <w:numId w:val="1"/>
              </w:numPr>
              <w:jc w:val="both"/>
              <w:rPr>
                <w:rFonts w:ascii="Verdana" w:hAnsi="Verdana" w:cs="Arial"/>
                <w:color w:val="000000" w:themeColor="text1"/>
                <w:sz w:val="22"/>
                <w:szCs w:val="22"/>
              </w:rPr>
            </w:pPr>
            <w:r w:rsidRPr="00BA4A1E">
              <w:rPr>
                <w:rFonts w:ascii="Verdana" w:hAnsi="Verdana" w:cs="Arial"/>
                <w:color w:val="000000" w:themeColor="text1"/>
                <w:sz w:val="22"/>
                <w:szCs w:val="22"/>
              </w:rPr>
              <w:t>X-1</w:t>
            </w:r>
          </w:p>
          <w:p w14:paraId="70D108C6" w14:textId="77777777" w:rsidR="00B66628" w:rsidRPr="00BA4A1E" w:rsidRDefault="00B66628" w:rsidP="00C000E6">
            <w:pPr>
              <w:numPr>
                <w:ilvl w:val="0"/>
                <w:numId w:val="1"/>
              </w:numPr>
              <w:jc w:val="both"/>
              <w:rPr>
                <w:rFonts w:ascii="Verdana" w:hAnsi="Verdana" w:cs="Arial"/>
                <w:color w:val="000000" w:themeColor="text1"/>
                <w:sz w:val="22"/>
                <w:szCs w:val="22"/>
              </w:rPr>
            </w:pPr>
            <w:r w:rsidRPr="00BA4A1E">
              <w:rPr>
                <w:rFonts w:ascii="Verdana" w:hAnsi="Verdana" w:cs="Arial"/>
                <w:color w:val="000000" w:themeColor="text1"/>
                <w:sz w:val="22"/>
                <w:szCs w:val="22"/>
              </w:rPr>
              <w:t>X+1</w:t>
            </w:r>
          </w:p>
          <w:p w14:paraId="1E4A8A8B" w14:textId="77777777" w:rsidR="00B66628" w:rsidRPr="00BA4A1E" w:rsidRDefault="00B66628" w:rsidP="00C000E6">
            <w:pPr>
              <w:numPr>
                <w:ilvl w:val="0"/>
                <w:numId w:val="1"/>
              </w:numPr>
              <w:jc w:val="both"/>
              <w:rPr>
                <w:rFonts w:ascii="Verdana" w:hAnsi="Verdana" w:cs="Arial"/>
                <w:color w:val="000000" w:themeColor="text1"/>
                <w:sz w:val="22"/>
                <w:szCs w:val="22"/>
              </w:rPr>
            </w:pPr>
            <w:r w:rsidRPr="00BA4A1E">
              <w:rPr>
                <w:rFonts w:ascii="Verdana" w:hAnsi="Verdana" w:cs="Arial"/>
                <w:color w:val="000000" w:themeColor="text1"/>
                <w:sz w:val="22"/>
                <w:szCs w:val="22"/>
              </w:rPr>
              <w:t>Nessuna delle precedenti è corretta</w:t>
            </w:r>
          </w:p>
        </w:tc>
      </w:tr>
      <w:tr w:rsidR="00B66628" w:rsidRPr="00BA4A1E" w14:paraId="29810034" w14:textId="77777777" w:rsidTr="00C000E6">
        <w:tc>
          <w:tcPr>
            <w:tcW w:w="0" w:type="auto"/>
          </w:tcPr>
          <w:p w14:paraId="39EBE370" w14:textId="77777777" w:rsidR="00B66628" w:rsidRPr="00BA4A1E" w:rsidRDefault="00B66628" w:rsidP="00C000E6">
            <w:pPr>
              <w:spacing w:line="240" w:lineRule="exact"/>
              <w:ind w:left="720"/>
              <w:rPr>
                <w:rFonts w:ascii="Verdana" w:hAnsi="Verdana"/>
                <w:color w:val="000000" w:themeColor="text1"/>
                <w:sz w:val="22"/>
                <w:highlight w:val="yellow"/>
                <w:u w:val="single"/>
              </w:rPr>
            </w:pPr>
          </w:p>
        </w:tc>
      </w:tr>
    </w:tbl>
    <w:p w14:paraId="54F18D6D" w14:textId="77777777" w:rsidR="00B66628" w:rsidRPr="00BA4A1E" w:rsidRDefault="00B66628" w:rsidP="00B66628">
      <w:pPr>
        <w:rPr>
          <w:rFonts w:ascii="Verdana" w:hAnsi="Verdana" w:cs="Arial"/>
          <w:color w:val="000000" w:themeColor="text1"/>
          <w:sz w:val="22"/>
          <w:szCs w:val="22"/>
        </w:rPr>
      </w:pPr>
    </w:p>
    <w:tbl>
      <w:tblPr>
        <w:tblW w:w="10262" w:type="dxa"/>
        <w:tblLayout w:type="fixed"/>
        <w:tblLook w:val="04A0" w:firstRow="1" w:lastRow="0" w:firstColumn="1" w:lastColumn="0" w:noHBand="0" w:noVBand="1"/>
      </w:tblPr>
      <w:tblGrid>
        <w:gridCol w:w="9923"/>
        <w:gridCol w:w="339"/>
      </w:tblGrid>
      <w:tr w:rsidR="00B66628" w:rsidRPr="00BA4A1E" w14:paraId="05274EB5" w14:textId="77777777" w:rsidTr="00C000E6">
        <w:trPr>
          <w:trHeight w:val="180"/>
        </w:trPr>
        <w:tc>
          <w:tcPr>
            <w:tcW w:w="10262" w:type="dxa"/>
            <w:gridSpan w:val="2"/>
          </w:tcPr>
          <w:p w14:paraId="51CB73D3" w14:textId="58075802" w:rsidR="00B66628" w:rsidRPr="00BA4A1E" w:rsidRDefault="00B66628" w:rsidP="00C000E6">
            <w:pPr>
              <w:spacing w:line="240" w:lineRule="exact"/>
              <w:jc w:val="both"/>
              <w:rPr>
                <w:rFonts w:ascii="Verdana" w:hAnsi="Verdana" w:cs="Arial"/>
                <w:color w:val="000000" w:themeColor="text1"/>
                <w:sz w:val="22"/>
              </w:rPr>
            </w:pPr>
            <w:r w:rsidRPr="00BA4A1E">
              <w:rPr>
                <w:rFonts w:ascii="Verdana" w:hAnsi="Verdana" w:cs="Arial"/>
                <w:color w:val="000000" w:themeColor="text1"/>
                <w:sz w:val="22"/>
              </w:rPr>
              <w:t>3. Quale tra le seguenti è una riserva di utili?</w:t>
            </w:r>
          </w:p>
        </w:tc>
      </w:tr>
      <w:tr w:rsidR="00B66628" w:rsidRPr="00BA4A1E" w14:paraId="225D649C" w14:textId="77777777" w:rsidTr="00C000E6">
        <w:trPr>
          <w:trHeight w:val="246"/>
        </w:trPr>
        <w:tc>
          <w:tcPr>
            <w:tcW w:w="10262" w:type="dxa"/>
            <w:gridSpan w:val="2"/>
          </w:tcPr>
          <w:p w14:paraId="50031C31" w14:textId="77777777" w:rsidR="00B66628" w:rsidRPr="00BA4A1E" w:rsidRDefault="00B66628" w:rsidP="00C000E6">
            <w:pPr>
              <w:numPr>
                <w:ilvl w:val="0"/>
                <w:numId w:val="1"/>
              </w:numPr>
              <w:spacing w:line="240" w:lineRule="exact"/>
              <w:jc w:val="both"/>
              <w:rPr>
                <w:rFonts w:ascii="Verdana" w:hAnsi="Verdana" w:cs="Arial"/>
                <w:color w:val="000000" w:themeColor="text1"/>
                <w:sz w:val="22"/>
              </w:rPr>
            </w:pPr>
            <w:r w:rsidRPr="00BA4A1E">
              <w:rPr>
                <w:rFonts w:ascii="Verdana" w:hAnsi="Verdana" w:cs="Arial"/>
                <w:color w:val="000000" w:themeColor="text1"/>
                <w:sz w:val="22"/>
              </w:rPr>
              <w:t>riserva di rivalutazione monetaria</w:t>
            </w:r>
          </w:p>
        </w:tc>
      </w:tr>
      <w:tr w:rsidR="00B66628" w:rsidRPr="00BA4A1E" w14:paraId="60359E78" w14:textId="77777777" w:rsidTr="00C000E6">
        <w:trPr>
          <w:trHeight w:val="246"/>
        </w:trPr>
        <w:tc>
          <w:tcPr>
            <w:tcW w:w="10262" w:type="dxa"/>
            <w:gridSpan w:val="2"/>
          </w:tcPr>
          <w:p w14:paraId="73E98238" w14:textId="77777777" w:rsidR="00B66628" w:rsidRPr="00BA4A1E" w:rsidRDefault="00B66628" w:rsidP="00C000E6">
            <w:pPr>
              <w:numPr>
                <w:ilvl w:val="0"/>
                <w:numId w:val="1"/>
              </w:numPr>
              <w:spacing w:line="240" w:lineRule="exact"/>
              <w:jc w:val="both"/>
              <w:rPr>
                <w:rFonts w:ascii="Verdana" w:hAnsi="Verdana" w:cs="Arial"/>
                <w:color w:val="000000" w:themeColor="text1"/>
                <w:sz w:val="22"/>
              </w:rPr>
            </w:pPr>
            <w:r w:rsidRPr="00BA4A1E">
              <w:rPr>
                <w:rFonts w:ascii="Verdana" w:hAnsi="Verdana" w:cs="Arial"/>
                <w:color w:val="000000" w:themeColor="text1"/>
                <w:spacing w:val="-2"/>
                <w:sz w:val="22"/>
              </w:rPr>
              <w:t>riserva da sovrapprezzo azioni</w:t>
            </w:r>
          </w:p>
        </w:tc>
      </w:tr>
      <w:tr w:rsidR="00B66628" w:rsidRPr="00BA4A1E" w14:paraId="0E2EBAA6" w14:textId="77777777" w:rsidTr="00C000E6">
        <w:trPr>
          <w:trHeight w:val="246"/>
        </w:trPr>
        <w:tc>
          <w:tcPr>
            <w:tcW w:w="10262" w:type="dxa"/>
            <w:gridSpan w:val="2"/>
          </w:tcPr>
          <w:p w14:paraId="040D52D0" w14:textId="77777777" w:rsidR="00B66628" w:rsidRPr="00BA4A1E" w:rsidRDefault="00B66628" w:rsidP="00C000E6">
            <w:pPr>
              <w:numPr>
                <w:ilvl w:val="0"/>
                <w:numId w:val="1"/>
              </w:numPr>
              <w:spacing w:line="240" w:lineRule="exact"/>
              <w:jc w:val="both"/>
              <w:rPr>
                <w:rFonts w:ascii="Verdana" w:hAnsi="Verdana" w:cs="Arial"/>
                <w:i/>
                <w:color w:val="000000" w:themeColor="text1"/>
                <w:sz w:val="22"/>
              </w:rPr>
            </w:pPr>
            <w:r w:rsidRPr="00BA4A1E">
              <w:rPr>
                <w:rFonts w:ascii="Verdana" w:hAnsi="Verdana" w:cs="Arial"/>
                <w:color w:val="000000" w:themeColor="text1"/>
                <w:spacing w:val="-2"/>
                <w:sz w:val="22"/>
              </w:rPr>
              <w:t xml:space="preserve">riserva statutaria   </w:t>
            </w:r>
          </w:p>
        </w:tc>
      </w:tr>
      <w:tr w:rsidR="00B66628" w:rsidRPr="00BA4A1E" w14:paraId="765CDC07" w14:textId="77777777" w:rsidTr="00C000E6">
        <w:trPr>
          <w:trHeight w:val="299"/>
        </w:trPr>
        <w:tc>
          <w:tcPr>
            <w:tcW w:w="10262" w:type="dxa"/>
            <w:gridSpan w:val="2"/>
          </w:tcPr>
          <w:p w14:paraId="31BB37EA" w14:textId="77777777" w:rsidR="00B66628" w:rsidRPr="00BA4A1E" w:rsidRDefault="00B66628" w:rsidP="00C000E6">
            <w:pPr>
              <w:numPr>
                <w:ilvl w:val="0"/>
                <w:numId w:val="1"/>
              </w:numPr>
              <w:spacing w:line="240" w:lineRule="exact"/>
              <w:jc w:val="both"/>
              <w:rPr>
                <w:rFonts w:ascii="Verdana" w:hAnsi="Verdana" w:cs="Arial"/>
                <w:color w:val="000000" w:themeColor="text1"/>
                <w:sz w:val="22"/>
              </w:rPr>
            </w:pPr>
            <w:r w:rsidRPr="00BA4A1E">
              <w:rPr>
                <w:rFonts w:ascii="Verdana" w:hAnsi="Verdana" w:cs="Arial"/>
                <w:color w:val="000000" w:themeColor="text1"/>
                <w:spacing w:val="-2"/>
                <w:sz w:val="22"/>
              </w:rPr>
              <w:t xml:space="preserve">riserva azioni proprie </w:t>
            </w:r>
          </w:p>
        </w:tc>
      </w:tr>
      <w:tr w:rsidR="00B66628" w:rsidRPr="00BA4A1E" w14:paraId="73657267" w14:textId="77777777" w:rsidTr="00C000E6">
        <w:trPr>
          <w:gridAfter w:val="1"/>
          <w:wAfter w:w="339" w:type="dxa"/>
          <w:trHeight w:val="315"/>
        </w:trPr>
        <w:tc>
          <w:tcPr>
            <w:tcW w:w="9923" w:type="dxa"/>
          </w:tcPr>
          <w:p w14:paraId="6371F872" w14:textId="303C35FA" w:rsidR="00B66628" w:rsidRPr="00BA4A1E" w:rsidRDefault="00B66628" w:rsidP="00C000E6">
            <w:pPr>
              <w:pStyle w:val="Textbody"/>
              <w:spacing w:line="240" w:lineRule="exact"/>
              <w:jc w:val="both"/>
              <w:rPr>
                <w:rFonts w:ascii="Verdana" w:hAnsi="Verdana"/>
                <w:sz w:val="22"/>
              </w:rPr>
            </w:pPr>
            <w:r w:rsidRPr="00BA4A1E">
              <w:rPr>
                <w:rFonts w:ascii="Verdana" w:hAnsi="Verdana" w:cs="Arial"/>
                <w:color w:val="000000" w:themeColor="text1"/>
                <w:sz w:val="22"/>
                <w:szCs w:val="22"/>
              </w:rPr>
              <w:t>4.</w:t>
            </w:r>
            <w:r w:rsidRPr="00BA4A1E">
              <w:rPr>
                <w:rFonts w:ascii="Verdana" w:hAnsi="Verdana"/>
                <w:sz w:val="22"/>
              </w:rPr>
              <w:t xml:space="preserve"> Per individuare il costo delle merci vendute, la procedura corretta è:  </w:t>
            </w:r>
          </w:p>
          <w:p w14:paraId="265509A7" w14:textId="77777777" w:rsidR="00B66628" w:rsidRPr="00BA4A1E" w:rsidRDefault="00B66628" w:rsidP="00C000E6">
            <w:pPr>
              <w:numPr>
                <w:ilvl w:val="0"/>
                <w:numId w:val="11"/>
              </w:numPr>
              <w:spacing w:line="240" w:lineRule="exact"/>
              <w:jc w:val="both"/>
              <w:rPr>
                <w:rFonts w:ascii="Verdana" w:hAnsi="Verdana"/>
                <w:sz w:val="22"/>
              </w:rPr>
            </w:pPr>
            <w:r w:rsidRPr="00BA4A1E">
              <w:rPr>
                <w:rFonts w:ascii="Verdana" w:hAnsi="Verdana"/>
                <w:sz w:val="22"/>
              </w:rPr>
              <w:t>Rimanenze iniziali +Rimanenze finali-Acquisti  </w:t>
            </w:r>
          </w:p>
          <w:p w14:paraId="27601626" w14:textId="77777777" w:rsidR="00B66628" w:rsidRPr="00BA4A1E" w:rsidRDefault="00B66628" w:rsidP="00C000E6">
            <w:pPr>
              <w:numPr>
                <w:ilvl w:val="0"/>
                <w:numId w:val="11"/>
              </w:numPr>
              <w:spacing w:line="240" w:lineRule="exact"/>
              <w:jc w:val="both"/>
              <w:rPr>
                <w:rFonts w:ascii="Verdana" w:hAnsi="Verdana"/>
                <w:sz w:val="22"/>
              </w:rPr>
            </w:pPr>
            <w:r w:rsidRPr="00BA4A1E">
              <w:rPr>
                <w:rFonts w:ascii="Verdana" w:hAnsi="Verdana"/>
                <w:sz w:val="22"/>
              </w:rPr>
              <w:t>Rimanenze iniziali +Rimanenze finali +Acquisti</w:t>
            </w:r>
          </w:p>
          <w:p w14:paraId="2C3E7869" w14:textId="77777777" w:rsidR="00B66628" w:rsidRPr="00BA4A1E" w:rsidRDefault="00B66628" w:rsidP="00C000E6">
            <w:pPr>
              <w:numPr>
                <w:ilvl w:val="0"/>
                <w:numId w:val="11"/>
              </w:numPr>
              <w:spacing w:line="240" w:lineRule="exact"/>
              <w:jc w:val="both"/>
              <w:rPr>
                <w:rFonts w:ascii="Verdana" w:hAnsi="Verdana" w:cs="Arial"/>
                <w:color w:val="000000" w:themeColor="text1"/>
                <w:sz w:val="22"/>
                <w:szCs w:val="22"/>
              </w:rPr>
            </w:pPr>
            <w:r w:rsidRPr="00BA4A1E">
              <w:rPr>
                <w:rFonts w:ascii="Verdana" w:hAnsi="Verdana"/>
                <w:sz w:val="22"/>
              </w:rPr>
              <w:t>Rimanenze iniziali -Rimanenze finali +Acquisti</w:t>
            </w:r>
          </w:p>
          <w:p w14:paraId="739E2E5B" w14:textId="77777777" w:rsidR="00B66628" w:rsidRPr="00BA4A1E" w:rsidRDefault="00B66628" w:rsidP="00C000E6">
            <w:pPr>
              <w:numPr>
                <w:ilvl w:val="0"/>
                <w:numId w:val="11"/>
              </w:numPr>
              <w:spacing w:line="240" w:lineRule="exact"/>
              <w:jc w:val="both"/>
              <w:rPr>
                <w:rFonts w:ascii="Verdana" w:hAnsi="Verdana" w:cs="Arial"/>
                <w:color w:val="000000" w:themeColor="text1"/>
                <w:sz w:val="22"/>
                <w:szCs w:val="22"/>
              </w:rPr>
            </w:pPr>
            <w:r w:rsidRPr="00BA4A1E">
              <w:rPr>
                <w:rFonts w:ascii="Verdana" w:hAnsi="Verdana"/>
                <w:sz w:val="22"/>
              </w:rPr>
              <w:t>Rimanenze finali -Rimanenze iniziali +Acquisti</w:t>
            </w:r>
          </w:p>
          <w:p w14:paraId="16654D93" w14:textId="77777777" w:rsidR="00B66628" w:rsidRPr="00BA4A1E" w:rsidRDefault="00B66628" w:rsidP="00C000E6">
            <w:pPr>
              <w:spacing w:line="240" w:lineRule="exact"/>
              <w:jc w:val="both"/>
              <w:rPr>
                <w:rFonts w:ascii="Verdana" w:hAnsi="Verdana" w:cs="Arial"/>
                <w:color w:val="000000" w:themeColor="text1"/>
                <w:sz w:val="22"/>
              </w:rPr>
            </w:pPr>
          </w:p>
          <w:p w14:paraId="475DC543" w14:textId="1E25DC35" w:rsidR="00B66628" w:rsidRPr="00BA4A1E" w:rsidRDefault="00B66628" w:rsidP="00C000E6">
            <w:pPr>
              <w:spacing w:line="240" w:lineRule="exact"/>
              <w:jc w:val="both"/>
              <w:rPr>
                <w:rFonts w:ascii="Verdana" w:hAnsi="Verdana" w:cs="Arial"/>
                <w:color w:val="000000" w:themeColor="text1"/>
                <w:sz w:val="22"/>
              </w:rPr>
            </w:pPr>
            <w:r w:rsidRPr="00BA4A1E">
              <w:rPr>
                <w:rFonts w:ascii="Verdana" w:hAnsi="Verdana" w:cs="Arial"/>
                <w:color w:val="000000" w:themeColor="text1"/>
                <w:sz w:val="22"/>
              </w:rPr>
              <w:t>5. Secondo l’OIC 23, il criterio della percentuale di completamento può essere adottato se sussistono queste condizioni:</w:t>
            </w:r>
          </w:p>
        </w:tc>
      </w:tr>
      <w:tr w:rsidR="00B66628" w:rsidRPr="00BA4A1E" w14:paraId="3B25361D" w14:textId="77777777" w:rsidTr="00C000E6">
        <w:trPr>
          <w:gridAfter w:val="1"/>
          <w:wAfter w:w="339" w:type="dxa"/>
          <w:trHeight w:val="265"/>
        </w:trPr>
        <w:tc>
          <w:tcPr>
            <w:tcW w:w="9923" w:type="dxa"/>
          </w:tcPr>
          <w:p w14:paraId="15E2DC2C" w14:textId="77777777" w:rsidR="00B66628" w:rsidRPr="00BA4A1E" w:rsidRDefault="00B66628" w:rsidP="00C000E6">
            <w:pPr>
              <w:numPr>
                <w:ilvl w:val="0"/>
                <w:numId w:val="1"/>
              </w:numPr>
              <w:spacing w:line="240" w:lineRule="exact"/>
              <w:jc w:val="both"/>
              <w:rPr>
                <w:rFonts w:ascii="Verdana" w:hAnsi="Verdana" w:cs="Arial"/>
                <w:color w:val="000000" w:themeColor="text1"/>
                <w:sz w:val="22"/>
              </w:rPr>
            </w:pPr>
            <w:r w:rsidRPr="00BA4A1E">
              <w:rPr>
                <w:rFonts w:ascii="Verdana" w:hAnsi="Verdana" w:cs="Arial"/>
                <w:color w:val="000000" w:themeColor="text1"/>
                <w:spacing w:val="-2"/>
                <w:sz w:val="22"/>
              </w:rPr>
              <w:t>Il committente è di nazionalità estera</w:t>
            </w:r>
          </w:p>
        </w:tc>
      </w:tr>
      <w:tr w:rsidR="00B66628" w:rsidRPr="00BA4A1E" w14:paraId="2E15C47E" w14:textId="77777777" w:rsidTr="00C000E6">
        <w:trPr>
          <w:gridAfter w:val="1"/>
          <w:wAfter w:w="339" w:type="dxa"/>
          <w:trHeight w:val="265"/>
        </w:trPr>
        <w:tc>
          <w:tcPr>
            <w:tcW w:w="9923" w:type="dxa"/>
          </w:tcPr>
          <w:p w14:paraId="1D99BDDF" w14:textId="77777777" w:rsidR="00B66628" w:rsidRPr="00BA4A1E" w:rsidRDefault="00B66628" w:rsidP="00C000E6">
            <w:pPr>
              <w:numPr>
                <w:ilvl w:val="0"/>
                <w:numId w:val="1"/>
              </w:numPr>
              <w:spacing w:line="240" w:lineRule="exact"/>
              <w:jc w:val="both"/>
              <w:rPr>
                <w:rFonts w:ascii="Verdana" w:hAnsi="Verdana" w:cs="Arial"/>
                <w:color w:val="000000" w:themeColor="text1"/>
                <w:sz w:val="22"/>
              </w:rPr>
            </w:pPr>
            <w:r w:rsidRPr="00BA4A1E">
              <w:rPr>
                <w:rFonts w:ascii="Verdana" w:hAnsi="Verdana" w:cs="Arial"/>
                <w:color w:val="000000" w:themeColor="text1"/>
                <w:spacing w:val="-2"/>
                <w:sz w:val="22"/>
              </w:rPr>
              <w:t xml:space="preserve">è possibile misurare attendibilmente lo stato di avanzamento dei lavori             </w:t>
            </w:r>
          </w:p>
        </w:tc>
      </w:tr>
      <w:tr w:rsidR="00B66628" w:rsidRPr="00BA4A1E" w14:paraId="2577EB65" w14:textId="77777777" w:rsidTr="00C000E6">
        <w:trPr>
          <w:gridAfter w:val="1"/>
          <w:wAfter w:w="339" w:type="dxa"/>
          <w:trHeight w:val="265"/>
        </w:trPr>
        <w:tc>
          <w:tcPr>
            <w:tcW w:w="9923" w:type="dxa"/>
          </w:tcPr>
          <w:p w14:paraId="141FDD42" w14:textId="77777777" w:rsidR="00B66628" w:rsidRPr="00BA4A1E" w:rsidRDefault="00B66628" w:rsidP="00C000E6">
            <w:pPr>
              <w:numPr>
                <w:ilvl w:val="0"/>
                <w:numId w:val="1"/>
              </w:numPr>
              <w:spacing w:line="240" w:lineRule="exact"/>
              <w:jc w:val="both"/>
              <w:rPr>
                <w:rFonts w:ascii="Verdana" w:hAnsi="Verdana" w:cs="Arial"/>
                <w:i/>
                <w:color w:val="000000" w:themeColor="text1"/>
                <w:sz w:val="22"/>
              </w:rPr>
            </w:pPr>
            <w:r w:rsidRPr="00BA4A1E">
              <w:rPr>
                <w:rFonts w:ascii="Verdana" w:hAnsi="Verdana" w:cs="Arial"/>
                <w:color w:val="000000" w:themeColor="text1"/>
                <w:spacing w:val="-2"/>
                <w:sz w:val="22"/>
              </w:rPr>
              <w:t>i costi residui da sostenere sono minimi</w:t>
            </w:r>
          </w:p>
        </w:tc>
      </w:tr>
      <w:tr w:rsidR="00B66628" w:rsidRPr="00BA4A1E" w14:paraId="1D1FDC03" w14:textId="77777777" w:rsidTr="00C000E6">
        <w:trPr>
          <w:gridAfter w:val="1"/>
          <w:wAfter w:w="339" w:type="dxa"/>
          <w:trHeight w:val="265"/>
        </w:trPr>
        <w:tc>
          <w:tcPr>
            <w:tcW w:w="9923" w:type="dxa"/>
          </w:tcPr>
          <w:p w14:paraId="048E40EF" w14:textId="77777777" w:rsidR="00B66628" w:rsidRPr="00BA4A1E" w:rsidRDefault="00B66628" w:rsidP="00C000E6">
            <w:pPr>
              <w:numPr>
                <w:ilvl w:val="0"/>
                <w:numId w:val="1"/>
              </w:numPr>
              <w:spacing w:line="240" w:lineRule="exact"/>
              <w:jc w:val="both"/>
              <w:rPr>
                <w:rFonts w:ascii="Verdana" w:hAnsi="Verdana" w:cs="Arial"/>
                <w:color w:val="000000" w:themeColor="text1"/>
                <w:sz w:val="22"/>
              </w:rPr>
            </w:pPr>
            <w:r w:rsidRPr="00BA4A1E">
              <w:rPr>
                <w:rFonts w:ascii="Verdana" w:hAnsi="Verdana" w:cs="Arial"/>
                <w:color w:val="000000" w:themeColor="text1"/>
                <w:spacing w:val="-2"/>
                <w:sz w:val="22"/>
              </w:rPr>
              <w:t>è presente un certo grado di aleatorietà</w:t>
            </w:r>
          </w:p>
          <w:p w14:paraId="07FA01B3" w14:textId="477FDCDC" w:rsidR="00B66628" w:rsidRPr="00BA4A1E" w:rsidRDefault="00B66628" w:rsidP="00C000E6">
            <w:pPr>
              <w:spacing w:line="240" w:lineRule="exact"/>
              <w:jc w:val="both"/>
              <w:rPr>
                <w:rFonts w:ascii="Verdana" w:hAnsi="Verdana" w:cs="Arial"/>
                <w:color w:val="000000" w:themeColor="text1"/>
                <w:sz w:val="22"/>
              </w:rPr>
            </w:pPr>
          </w:p>
        </w:tc>
      </w:tr>
    </w:tbl>
    <w:p w14:paraId="225849D0" w14:textId="2C54990F" w:rsidR="00B66628" w:rsidRPr="00BA4A1E" w:rsidRDefault="00B66628" w:rsidP="00B66628">
      <w:pPr>
        <w:rPr>
          <w:rFonts w:ascii="Verdana" w:hAnsi="Verdana"/>
          <w:color w:val="000000" w:themeColor="text1"/>
          <w:sz w:val="22"/>
          <w:szCs w:val="22"/>
        </w:rPr>
      </w:pPr>
      <w:r w:rsidRPr="00BA4A1E">
        <w:rPr>
          <w:rFonts w:ascii="Verdana" w:hAnsi="Verdana"/>
          <w:color w:val="000000" w:themeColor="text1"/>
          <w:sz w:val="22"/>
          <w:szCs w:val="22"/>
        </w:rPr>
        <w:t>6. Se le rimanenze finali di prodotti finiti sono inferiori a quelle iniziali, la variazione deve essere indicata:</w:t>
      </w:r>
    </w:p>
    <w:p w14:paraId="301474D3"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nel valore della produzione con segno positivo</w:t>
      </w:r>
    </w:p>
    <w:p w14:paraId="1BD28857"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nei costi della produzione con segno positivo</w:t>
      </w:r>
    </w:p>
    <w:p w14:paraId="76C5223B"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nei costi di produzione con segno negativo</w:t>
      </w:r>
    </w:p>
    <w:p w14:paraId="03BF2D38"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nel valore della produzione con segno negativo</w:t>
      </w:r>
    </w:p>
    <w:p w14:paraId="58367384" w14:textId="77777777" w:rsidR="00B66628" w:rsidRPr="00BA4A1E" w:rsidRDefault="00B66628" w:rsidP="00B66628">
      <w:pPr>
        <w:pStyle w:val="Paragrafoelenco"/>
        <w:autoSpaceDE w:val="0"/>
        <w:autoSpaceDN w:val="0"/>
        <w:adjustRightInd w:val="0"/>
        <w:spacing w:after="0" w:line="240" w:lineRule="auto"/>
        <w:rPr>
          <w:rFonts w:ascii="Bell MT" w:hAnsi="Bell MT" w:cs="Verdana"/>
          <w:color w:val="000000" w:themeColor="text1"/>
          <w:sz w:val="24"/>
          <w:szCs w:val="24"/>
        </w:rPr>
      </w:pPr>
    </w:p>
    <w:p w14:paraId="3BFA754E" w14:textId="0FAB8768" w:rsidR="00B66628" w:rsidRPr="00BA4A1E" w:rsidRDefault="00B66628" w:rsidP="00B66628">
      <w:pPr>
        <w:rPr>
          <w:rFonts w:ascii="Verdana" w:hAnsi="Verdana"/>
          <w:color w:val="000000" w:themeColor="text1"/>
          <w:sz w:val="22"/>
          <w:szCs w:val="22"/>
        </w:rPr>
      </w:pPr>
      <w:r w:rsidRPr="00BA4A1E">
        <w:rPr>
          <w:rFonts w:ascii="Verdana" w:hAnsi="Verdana"/>
          <w:color w:val="000000" w:themeColor="text1"/>
          <w:sz w:val="22"/>
          <w:szCs w:val="22"/>
        </w:rPr>
        <w:t>7. Nella voce ratei e risconti passivi devono essere iscritti:</w:t>
      </w:r>
    </w:p>
    <w:p w14:paraId="12730FD3"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i costi di competenza dell'esercizio esigibili in esercizi successivi e i proventi percepiti entro la chiusura dell'esercizio ma di competenza di esercizi successivi</w:t>
      </w:r>
    </w:p>
    <w:p w14:paraId="6332C700"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i proventi di competenza dell'esercizio esigibili in esercizi successivi, e i costi sostenuti entro la chiusura dell'esercizio ma di competenza di esercizi successivi</w:t>
      </w:r>
    </w:p>
    <w:p w14:paraId="2E09316E"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proventi e oneri finanziari di competenza dell’esercizio</w:t>
      </w:r>
    </w:p>
    <w:p w14:paraId="31BA080D"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perdite o debiti di natura determinata, di esistenza certa o probabile, dei quali tuttavia alla chiusura dell'esercizio sono indeterminati o l'ammontare o la data di sopravvenienza</w:t>
      </w:r>
    </w:p>
    <w:p w14:paraId="48D3B250" w14:textId="77777777" w:rsidR="00B66628" w:rsidRPr="00BA4A1E" w:rsidRDefault="00B66628" w:rsidP="00B66628">
      <w:pPr>
        <w:pStyle w:val="Paragrafoelenco"/>
        <w:spacing w:after="0"/>
        <w:rPr>
          <w:rFonts w:ascii="Bell MT" w:hAnsi="Bell MT"/>
          <w:color w:val="000000" w:themeColor="text1"/>
          <w:sz w:val="24"/>
          <w:szCs w:val="24"/>
        </w:rPr>
      </w:pPr>
    </w:p>
    <w:p w14:paraId="7C6C8DDC" w14:textId="66523A6D" w:rsidR="00B66628" w:rsidRPr="00BA4A1E" w:rsidRDefault="00B66628" w:rsidP="00B66628">
      <w:pPr>
        <w:rPr>
          <w:rFonts w:ascii="Verdana" w:hAnsi="Verdana"/>
          <w:color w:val="000000" w:themeColor="text1"/>
          <w:sz w:val="22"/>
          <w:szCs w:val="22"/>
        </w:rPr>
      </w:pPr>
      <w:r w:rsidRPr="00BA4A1E">
        <w:rPr>
          <w:rFonts w:ascii="Verdana" w:hAnsi="Verdana"/>
          <w:color w:val="000000" w:themeColor="text1"/>
          <w:sz w:val="22"/>
          <w:szCs w:val="22"/>
        </w:rPr>
        <w:lastRenderedPageBreak/>
        <w:t>8. Quale categoria di immobilizzazioni immateriali impedisce la distribuzione di dividendi in mancanza di riserve disponibili sufficienti a coprire la parte non ammortizzata:</w:t>
      </w:r>
    </w:p>
    <w:p w14:paraId="6B8B3937"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 xml:space="preserve">costi di sviluppo </w:t>
      </w:r>
    </w:p>
    <w:p w14:paraId="571EDC67"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avviamento</w:t>
      </w:r>
    </w:p>
    <w:p w14:paraId="55FA4B23"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concessioni, licenze, marchi e diritti simili</w:t>
      </w:r>
    </w:p>
    <w:p w14:paraId="7E2150E2"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diritti di brevetto industriale e diritti di utilizzazione delle opere dell'ingegno</w:t>
      </w:r>
    </w:p>
    <w:p w14:paraId="5F28DFC4" w14:textId="77777777" w:rsidR="00B66628" w:rsidRPr="00BA4A1E" w:rsidRDefault="00B66628" w:rsidP="00B66628">
      <w:pPr>
        <w:pStyle w:val="Paragrafoelenco"/>
        <w:rPr>
          <w:rFonts w:ascii="Bell MT" w:hAnsi="Bell MT"/>
          <w:color w:val="000000" w:themeColor="text1"/>
          <w:sz w:val="24"/>
          <w:szCs w:val="24"/>
        </w:rPr>
      </w:pPr>
    </w:p>
    <w:p w14:paraId="3E1D512C" w14:textId="65D8283D" w:rsidR="00B66628" w:rsidRPr="00BA4A1E" w:rsidRDefault="00B66628" w:rsidP="00B66628">
      <w:pPr>
        <w:rPr>
          <w:rFonts w:ascii="Verdana" w:hAnsi="Verdana"/>
          <w:color w:val="000000" w:themeColor="text1"/>
          <w:sz w:val="22"/>
          <w:szCs w:val="22"/>
        </w:rPr>
      </w:pPr>
      <w:r w:rsidRPr="00BA4A1E">
        <w:rPr>
          <w:rFonts w:ascii="Verdana" w:hAnsi="Verdana"/>
          <w:color w:val="000000" w:themeColor="text1"/>
          <w:sz w:val="22"/>
          <w:szCs w:val="22"/>
        </w:rPr>
        <w:t>9. Per le plusvalenze sulla cessione di immobilizzazioni materiali:</w:t>
      </w:r>
    </w:p>
    <w:p w14:paraId="05BFDF34"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competenza economica e imponibilità fiscale coincidono obbligatoriamente</w:t>
      </w:r>
    </w:p>
    <w:p w14:paraId="2CE275AE"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competenza economica e imponibilità fiscale possono non coincidere</w:t>
      </w:r>
    </w:p>
    <w:p w14:paraId="06C95900"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la imponibilità si ha nell’anno successivo a quello di realizzazione</w:t>
      </w:r>
    </w:p>
    <w:p w14:paraId="7567FEBB"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 xml:space="preserve">la competenza economica si ha nell’anno successivo </w:t>
      </w:r>
    </w:p>
    <w:p w14:paraId="31A452CE" w14:textId="77777777" w:rsidR="00B66628" w:rsidRPr="00BA4A1E" w:rsidRDefault="00B66628" w:rsidP="00B66628">
      <w:pPr>
        <w:pStyle w:val="Paragrafoelenco"/>
        <w:spacing w:after="0"/>
        <w:rPr>
          <w:rFonts w:ascii="Bell MT" w:hAnsi="Bell MT"/>
          <w:color w:val="000000" w:themeColor="text1"/>
          <w:sz w:val="24"/>
          <w:szCs w:val="24"/>
        </w:rPr>
      </w:pPr>
    </w:p>
    <w:p w14:paraId="080980E1" w14:textId="0EDD05D9" w:rsidR="00B66628" w:rsidRPr="00BA4A1E" w:rsidRDefault="00B66628" w:rsidP="00B66628">
      <w:pPr>
        <w:rPr>
          <w:rFonts w:ascii="Verdana" w:hAnsi="Verdana"/>
          <w:color w:val="000000" w:themeColor="text1"/>
          <w:sz w:val="22"/>
          <w:szCs w:val="22"/>
        </w:rPr>
      </w:pPr>
      <w:r w:rsidRPr="00BA4A1E">
        <w:rPr>
          <w:rFonts w:ascii="Verdana" w:hAnsi="Verdana"/>
          <w:color w:val="000000" w:themeColor="text1"/>
          <w:sz w:val="22"/>
          <w:szCs w:val="22"/>
        </w:rPr>
        <w:t>10. Il costo ammortizzato</w:t>
      </w:r>
    </w:p>
    <w:p w14:paraId="6FA1FB9F"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è un criterio di valutazione per titoli immobilizzati, crediti e debiti</w:t>
      </w:r>
    </w:p>
    <w:p w14:paraId="343EF255"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rappresenta il valore contabile delle immobilizzazioni soggette a ammortamento</w:t>
      </w:r>
    </w:p>
    <w:p w14:paraId="6DE36C2F"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 xml:space="preserve">rappresenta la parte del costo di acquisto di una immobilizzazione deducibile fiscalmente </w:t>
      </w:r>
    </w:p>
    <w:p w14:paraId="48BA47F3"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è un criterio di valutazione per le partecipazioni non di controllo/collegamento</w:t>
      </w:r>
    </w:p>
    <w:p w14:paraId="2D671F4D" w14:textId="77777777" w:rsidR="00B66628" w:rsidRPr="00BA4A1E" w:rsidRDefault="00B66628" w:rsidP="00B66628">
      <w:pPr>
        <w:pStyle w:val="Paragrafoelenco"/>
        <w:spacing w:after="0"/>
        <w:rPr>
          <w:rFonts w:ascii="Bell MT" w:hAnsi="Bell MT"/>
          <w:color w:val="000000" w:themeColor="text1"/>
          <w:sz w:val="24"/>
          <w:szCs w:val="24"/>
        </w:rPr>
      </w:pPr>
    </w:p>
    <w:p w14:paraId="6828A7A2" w14:textId="1D2A05A0" w:rsidR="00B66628" w:rsidRPr="00BA4A1E" w:rsidRDefault="00B66628" w:rsidP="00B66628">
      <w:pPr>
        <w:rPr>
          <w:rFonts w:ascii="Verdana" w:hAnsi="Verdana"/>
          <w:color w:val="000000" w:themeColor="text1"/>
          <w:sz w:val="22"/>
          <w:szCs w:val="22"/>
        </w:rPr>
      </w:pPr>
      <w:r w:rsidRPr="00BA4A1E">
        <w:rPr>
          <w:rFonts w:ascii="Verdana" w:hAnsi="Verdana"/>
          <w:color w:val="000000" w:themeColor="text1"/>
          <w:sz w:val="22"/>
          <w:szCs w:val="22"/>
        </w:rPr>
        <w:t>11. Le imposte sul reddito risultanti nella voce n. 20 del conto economico civilistico sono quelle:</w:t>
      </w:r>
    </w:p>
    <w:p w14:paraId="7AB3E9CF"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correnti, calcolate sul reddito imponibile</w:t>
      </w:r>
    </w:p>
    <w:p w14:paraId="631DA2FB"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di competenza, calcolate sul risultato ante imposte</w:t>
      </w:r>
    </w:p>
    <w:p w14:paraId="03026FE6"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anticipate, calcolate sulle differenze temporanee</w:t>
      </w:r>
    </w:p>
    <w:p w14:paraId="0F8B6F93"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differite, calcolate sulle differenze temporanee</w:t>
      </w:r>
    </w:p>
    <w:p w14:paraId="1348AB43" w14:textId="77777777" w:rsidR="00B66628" w:rsidRPr="00BA4A1E" w:rsidRDefault="00B66628" w:rsidP="00B66628">
      <w:pPr>
        <w:spacing w:line="240" w:lineRule="exact"/>
        <w:jc w:val="both"/>
        <w:rPr>
          <w:rFonts w:ascii="Verdana" w:hAnsi="Verdana" w:cs="Arial"/>
          <w:color w:val="000000" w:themeColor="text1"/>
          <w:sz w:val="22"/>
          <w:szCs w:val="22"/>
        </w:rPr>
      </w:pPr>
    </w:p>
    <w:p w14:paraId="65DEF2FE" w14:textId="7911D96F" w:rsidR="00B66628" w:rsidRPr="00BA4A1E" w:rsidRDefault="00B66628" w:rsidP="00B66628">
      <w:pPr>
        <w:rPr>
          <w:rFonts w:ascii="Verdana" w:hAnsi="Verdana"/>
          <w:color w:val="000000" w:themeColor="text1"/>
          <w:sz w:val="22"/>
          <w:szCs w:val="22"/>
        </w:rPr>
      </w:pPr>
      <w:r w:rsidRPr="00BA4A1E">
        <w:rPr>
          <w:rFonts w:ascii="Verdana" w:hAnsi="Verdana"/>
          <w:color w:val="000000" w:themeColor="text1"/>
          <w:sz w:val="22"/>
          <w:szCs w:val="22"/>
        </w:rPr>
        <w:t>12. Lo stanziamento di una riserva indisponibile con segno positivo è obbligatoria per l’acquisto di:</w:t>
      </w:r>
    </w:p>
    <w:p w14:paraId="351CE951"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azioni proprie</w:t>
      </w:r>
    </w:p>
    <w:p w14:paraId="312FA99C"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partecipazioni in controllanti</w:t>
      </w:r>
    </w:p>
    <w:p w14:paraId="0C8A8FB4"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entrambi i casi precedenti</w:t>
      </w:r>
    </w:p>
    <w:p w14:paraId="3AB7B18D" w14:textId="77777777" w:rsidR="00B66628" w:rsidRPr="00BA4A1E" w:rsidRDefault="00B66628" w:rsidP="00B66628">
      <w:pPr>
        <w:pStyle w:val="Paragrafoelenco"/>
        <w:widowControl w:val="0"/>
        <w:numPr>
          <w:ilvl w:val="0"/>
          <w:numId w:val="8"/>
        </w:numPr>
        <w:suppressAutoHyphens/>
        <w:autoSpaceDN w:val="0"/>
        <w:spacing w:after="0" w:line="240" w:lineRule="exact"/>
        <w:jc w:val="both"/>
        <w:textAlignment w:val="baseline"/>
        <w:rPr>
          <w:rFonts w:ascii="Verdana" w:hAnsi="Verdana" w:cs="Arial"/>
          <w:color w:val="000000" w:themeColor="text1"/>
          <w:spacing w:val="-2"/>
        </w:rPr>
      </w:pPr>
      <w:r w:rsidRPr="00BA4A1E">
        <w:rPr>
          <w:rFonts w:ascii="Verdana" w:hAnsi="Verdana" w:cs="Arial"/>
          <w:color w:val="000000" w:themeColor="text1"/>
          <w:spacing w:val="-2"/>
        </w:rPr>
        <w:t>nessuno dei casi precedenti</w:t>
      </w:r>
    </w:p>
    <w:p w14:paraId="34233ACD" w14:textId="77777777" w:rsidR="00B66628" w:rsidRPr="00BA4A1E" w:rsidRDefault="00B66628" w:rsidP="00B66628">
      <w:pPr>
        <w:spacing w:line="240" w:lineRule="exact"/>
        <w:rPr>
          <w:rFonts w:ascii="Verdana" w:hAnsi="Verdana"/>
          <w:bCs/>
          <w:color w:val="000000" w:themeColor="text1"/>
          <w:sz w:val="22"/>
          <w:szCs w:val="22"/>
        </w:rPr>
      </w:pPr>
    </w:p>
    <w:p w14:paraId="46939660" w14:textId="7DB4C849" w:rsidR="00B66628" w:rsidRPr="00BA4A1E" w:rsidRDefault="00B66628" w:rsidP="00B66628">
      <w:pPr>
        <w:spacing w:line="240" w:lineRule="exact"/>
        <w:contextualSpacing/>
        <w:jc w:val="both"/>
        <w:rPr>
          <w:rFonts w:ascii="Verdana" w:hAnsi="Verdana" w:cs="Arial"/>
          <w:color w:val="000000" w:themeColor="text1"/>
          <w:sz w:val="22"/>
          <w:szCs w:val="22"/>
        </w:rPr>
      </w:pPr>
      <w:r w:rsidRPr="00BA4A1E">
        <w:rPr>
          <w:rFonts w:ascii="Verdana" w:hAnsi="Verdana" w:cs="Arial"/>
          <w:color w:val="000000" w:themeColor="text1"/>
          <w:sz w:val="22"/>
          <w:szCs w:val="22"/>
        </w:rPr>
        <w:t>13. Il rendiconto finanziario è un prospetto che deve essere prodotto obbligatoriamente:</w:t>
      </w:r>
    </w:p>
    <w:p w14:paraId="26FCBACA" w14:textId="77777777" w:rsidR="00B66628" w:rsidRPr="00BA4A1E" w:rsidRDefault="00B66628" w:rsidP="00B66628">
      <w:pPr>
        <w:numPr>
          <w:ilvl w:val="0"/>
          <w:numId w:val="1"/>
        </w:numPr>
        <w:spacing w:line="240" w:lineRule="exact"/>
        <w:contextualSpacing/>
        <w:jc w:val="both"/>
        <w:rPr>
          <w:rFonts w:ascii="Verdana" w:hAnsi="Verdana" w:cs="Arial"/>
          <w:color w:val="000000" w:themeColor="text1"/>
          <w:sz w:val="22"/>
          <w:szCs w:val="22"/>
        </w:rPr>
      </w:pPr>
      <w:r w:rsidRPr="00BA4A1E">
        <w:rPr>
          <w:rFonts w:ascii="Verdana" w:hAnsi="Verdana" w:cs="Arial"/>
          <w:color w:val="000000" w:themeColor="text1"/>
          <w:sz w:val="22"/>
          <w:szCs w:val="22"/>
        </w:rPr>
        <w:t>da tutte le società</w:t>
      </w:r>
    </w:p>
    <w:p w14:paraId="4896B006" w14:textId="77777777" w:rsidR="00B66628" w:rsidRPr="00BA4A1E" w:rsidRDefault="00B66628" w:rsidP="00B66628">
      <w:pPr>
        <w:numPr>
          <w:ilvl w:val="0"/>
          <w:numId w:val="1"/>
        </w:numPr>
        <w:spacing w:line="240" w:lineRule="exact"/>
        <w:contextualSpacing/>
        <w:jc w:val="both"/>
        <w:rPr>
          <w:rFonts w:ascii="Verdana" w:hAnsi="Verdana" w:cs="Arial"/>
          <w:color w:val="000000" w:themeColor="text1"/>
          <w:sz w:val="22"/>
          <w:szCs w:val="22"/>
        </w:rPr>
      </w:pPr>
      <w:r w:rsidRPr="00BA4A1E">
        <w:rPr>
          <w:rFonts w:ascii="Verdana" w:hAnsi="Verdana" w:cs="Arial"/>
          <w:color w:val="000000" w:themeColor="text1"/>
          <w:sz w:val="22"/>
          <w:szCs w:val="22"/>
        </w:rPr>
        <w:t>dalle società obbligate alla redazione del bilancio in forma ordinaria</w:t>
      </w:r>
    </w:p>
    <w:p w14:paraId="57EBAB72" w14:textId="77777777" w:rsidR="00B66628" w:rsidRPr="00BA4A1E" w:rsidRDefault="00B66628" w:rsidP="00B66628">
      <w:pPr>
        <w:numPr>
          <w:ilvl w:val="0"/>
          <w:numId w:val="1"/>
        </w:numPr>
        <w:spacing w:line="240" w:lineRule="exact"/>
        <w:contextualSpacing/>
        <w:jc w:val="both"/>
        <w:rPr>
          <w:rFonts w:ascii="Verdana" w:hAnsi="Verdana" w:cs="Arial"/>
          <w:color w:val="000000" w:themeColor="text1"/>
          <w:sz w:val="22"/>
          <w:szCs w:val="22"/>
        </w:rPr>
      </w:pPr>
      <w:r w:rsidRPr="00BA4A1E">
        <w:rPr>
          <w:rFonts w:ascii="Verdana" w:hAnsi="Verdana" w:cs="Arial"/>
          <w:color w:val="000000" w:themeColor="text1"/>
          <w:sz w:val="22"/>
          <w:szCs w:val="22"/>
        </w:rPr>
        <w:t>dalle società obbligate alla redazione del bilancio in forma ordinaria e abbreviata</w:t>
      </w:r>
    </w:p>
    <w:p w14:paraId="071D2962" w14:textId="77777777" w:rsidR="00B66628" w:rsidRPr="00BA4A1E" w:rsidRDefault="00B66628" w:rsidP="00B66628">
      <w:pPr>
        <w:numPr>
          <w:ilvl w:val="0"/>
          <w:numId w:val="1"/>
        </w:numPr>
        <w:spacing w:line="240" w:lineRule="exact"/>
        <w:contextualSpacing/>
        <w:jc w:val="both"/>
        <w:rPr>
          <w:rFonts w:ascii="Verdana" w:hAnsi="Verdana" w:cs="Arial"/>
          <w:color w:val="000000" w:themeColor="text1"/>
          <w:sz w:val="22"/>
          <w:szCs w:val="22"/>
        </w:rPr>
      </w:pPr>
      <w:r w:rsidRPr="00BA4A1E">
        <w:rPr>
          <w:rFonts w:ascii="Verdana" w:hAnsi="Verdana" w:cs="Arial"/>
          <w:color w:val="000000" w:themeColor="text1"/>
          <w:sz w:val="22"/>
          <w:szCs w:val="22"/>
        </w:rPr>
        <w:t>dalle società per azioni</w:t>
      </w:r>
    </w:p>
    <w:p w14:paraId="04C93679" w14:textId="77777777" w:rsidR="00B66628" w:rsidRPr="00BA4A1E" w:rsidRDefault="00B66628" w:rsidP="00B66628">
      <w:pPr>
        <w:spacing w:line="240" w:lineRule="exact"/>
        <w:rPr>
          <w:rFonts w:ascii="Verdana" w:hAnsi="Verdana"/>
          <w:bCs/>
          <w:color w:val="000000" w:themeColor="text1"/>
          <w:sz w:val="22"/>
          <w:szCs w:val="22"/>
        </w:rPr>
      </w:pPr>
    </w:p>
    <w:p w14:paraId="363B7754" w14:textId="53311FCF" w:rsidR="00B66628" w:rsidRPr="00BA4A1E" w:rsidRDefault="00B66628" w:rsidP="00B66628">
      <w:pPr>
        <w:jc w:val="both"/>
        <w:rPr>
          <w:rFonts w:ascii="Verdana" w:hAnsi="Verdana"/>
          <w:color w:val="000000" w:themeColor="text1"/>
          <w:sz w:val="22"/>
          <w:szCs w:val="22"/>
        </w:rPr>
      </w:pPr>
      <w:r w:rsidRPr="00BA4A1E">
        <w:rPr>
          <w:rFonts w:ascii="Verdana" w:hAnsi="Verdana"/>
          <w:color w:val="000000" w:themeColor="text1"/>
          <w:sz w:val="22"/>
          <w:szCs w:val="22"/>
        </w:rPr>
        <w:t>14. Qualora ne ricorrano i presupposti, se una società costituita da dieci anni rilevasse una perdita fiscale, questa avrebbe diritto a rilevare:</w:t>
      </w:r>
    </w:p>
    <w:p w14:paraId="225DB446" w14:textId="77777777" w:rsidR="00B66628" w:rsidRPr="00BA4A1E" w:rsidRDefault="00B66628" w:rsidP="00B66628">
      <w:pPr>
        <w:pStyle w:val="Paragrafoelenco"/>
        <w:numPr>
          <w:ilvl w:val="0"/>
          <w:numId w:val="9"/>
        </w:numPr>
        <w:spacing w:after="0" w:line="240" w:lineRule="auto"/>
        <w:rPr>
          <w:rFonts w:ascii="Verdana" w:hAnsi="Verdana"/>
          <w:color w:val="000000" w:themeColor="text1"/>
        </w:rPr>
      </w:pPr>
      <w:r w:rsidRPr="00BA4A1E">
        <w:rPr>
          <w:rFonts w:ascii="Verdana" w:hAnsi="Verdana"/>
          <w:color w:val="000000" w:themeColor="text1"/>
        </w:rPr>
        <w:t>imposte differite calcolate sull’intera perdita</w:t>
      </w:r>
    </w:p>
    <w:p w14:paraId="7FD9A456" w14:textId="77777777" w:rsidR="00B66628" w:rsidRPr="00BA4A1E" w:rsidRDefault="00B66628" w:rsidP="00B66628">
      <w:pPr>
        <w:pStyle w:val="Paragrafoelenco"/>
        <w:numPr>
          <w:ilvl w:val="0"/>
          <w:numId w:val="9"/>
        </w:numPr>
        <w:spacing w:after="0" w:line="240" w:lineRule="auto"/>
        <w:rPr>
          <w:rFonts w:ascii="Verdana" w:hAnsi="Verdana"/>
          <w:color w:val="000000" w:themeColor="text1"/>
        </w:rPr>
      </w:pPr>
      <w:r w:rsidRPr="00BA4A1E">
        <w:rPr>
          <w:rFonts w:ascii="Verdana" w:hAnsi="Verdana"/>
          <w:color w:val="000000" w:themeColor="text1"/>
        </w:rPr>
        <w:t>imposte differite calcolate nella misura dell’80% della perdita</w:t>
      </w:r>
    </w:p>
    <w:p w14:paraId="5B827F50" w14:textId="77777777" w:rsidR="00B66628" w:rsidRPr="00BA4A1E" w:rsidRDefault="00B66628" w:rsidP="00B66628">
      <w:pPr>
        <w:pStyle w:val="Paragrafoelenco"/>
        <w:numPr>
          <w:ilvl w:val="0"/>
          <w:numId w:val="9"/>
        </w:numPr>
        <w:spacing w:after="0" w:line="240" w:lineRule="auto"/>
        <w:rPr>
          <w:rFonts w:ascii="Verdana" w:hAnsi="Verdana"/>
          <w:color w:val="000000" w:themeColor="text1"/>
        </w:rPr>
      </w:pPr>
      <w:r w:rsidRPr="00BA4A1E">
        <w:rPr>
          <w:rFonts w:ascii="Verdana" w:hAnsi="Verdana"/>
          <w:color w:val="000000" w:themeColor="text1"/>
        </w:rPr>
        <w:t>imposte anticipate calcolate sull’intera perdita</w:t>
      </w:r>
    </w:p>
    <w:p w14:paraId="385AF482" w14:textId="77777777" w:rsidR="00B66628" w:rsidRPr="00BA4A1E" w:rsidRDefault="00B66628" w:rsidP="00B66628">
      <w:pPr>
        <w:pStyle w:val="Paragrafoelenco"/>
        <w:numPr>
          <w:ilvl w:val="0"/>
          <w:numId w:val="9"/>
        </w:numPr>
        <w:spacing w:after="0" w:line="240" w:lineRule="auto"/>
        <w:rPr>
          <w:rFonts w:ascii="Verdana" w:hAnsi="Verdana"/>
          <w:color w:val="000000" w:themeColor="text1"/>
        </w:rPr>
      </w:pPr>
      <w:r w:rsidRPr="00BA4A1E">
        <w:rPr>
          <w:rFonts w:ascii="Verdana" w:hAnsi="Verdana"/>
          <w:color w:val="000000" w:themeColor="text1"/>
        </w:rPr>
        <w:t>imposte anticipate calcolate nella misura dell’80% della perdita</w:t>
      </w:r>
    </w:p>
    <w:p w14:paraId="1462EDE7" w14:textId="77777777" w:rsidR="00B66628" w:rsidRPr="00BA4A1E" w:rsidRDefault="00B66628" w:rsidP="00B66628">
      <w:pPr>
        <w:spacing w:line="240" w:lineRule="exact"/>
        <w:jc w:val="both"/>
        <w:rPr>
          <w:rFonts w:ascii="Verdana" w:hAnsi="Verdana" w:cs="Arial"/>
          <w:color w:val="000000" w:themeColor="text1"/>
          <w:sz w:val="22"/>
          <w:szCs w:val="22"/>
        </w:rPr>
      </w:pPr>
    </w:p>
    <w:p w14:paraId="324D861E" w14:textId="288A3CEA" w:rsidR="00B66628" w:rsidRPr="00BA4A1E" w:rsidRDefault="00B66628" w:rsidP="00B66628">
      <w:p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15. Qualora un’impresa portasse a termine nell’anno e vendesse una produzione su commessa realizzata negli esercizi precedenti rileverebbe relativamente a tale commessa nel proprio conto economico:</w:t>
      </w:r>
    </w:p>
    <w:p w14:paraId="631F0683" w14:textId="77777777" w:rsidR="00B66628" w:rsidRPr="00BA4A1E" w:rsidRDefault="00B66628" w:rsidP="00B66628">
      <w:pPr>
        <w:pStyle w:val="Paragrafoelenco"/>
        <w:numPr>
          <w:ilvl w:val="0"/>
          <w:numId w:val="2"/>
        </w:numPr>
        <w:spacing w:after="0" w:line="240" w:lineRule="exact"/>
        <w:jc w:val="both"/>
        <w:rPr>
          <w:rFonts w:ascii="Verdana" w:hAnsi="Verdana" w:cs="Arial"/>
          <w:color w:val="000000" w:themeColor="text1"/>
        </w:rPr>
      </w:pPr>
      <w:r w:rsidRPr="00BA4A1E">
        <w:rPr>
          <w:rFonts w:ascii="Verdana" w:hAnsi="Verdana" w:cs="Arial"/>
          <w:color w:val="000000" w:themeColor="text1"/>
        </w:rPr>
        <w:t>una variazione negativa nella posta A3 e un valore positivo nella posta A1</w:t>
      </w:r>
    </w:p>
    <w:p w14:paraId="3849B2B9" w14:textId="77777777" w:rsidR="00B66628" w:rsidRPr="00BA4A1E" w:rsidRDefault="00B66628" w:rsidP="00B66628">
      <w:pPr>
        <w:pStyle w:val="Paragrafoelenco"/>
        <w:numPr>
          <w:ilvl w:val="0"/>
          <w:numId w:val="2"/>
        </w:numPr>
        <w:spacing w:after="0" w:line="240" w:lineRule="exact"/>
        <w:jc w:val="both"/>
        <w:rPr>
          <w:rFonts w:ascii="Verdana" w:hAnsi="Verdana" w:cs="Arial"/>
          <w:color w:val="000000" w:themeColor="text1"/>
        </w:rPr>
      </w:pPr>
      <w:r w:rsidRPr="00BA4A1E">
        <w:rPr>
          <w:rFonts w:ascii="Verdana" w:hAnsi="Verdana" w:cs="Arial"/>
          <w:color w:val="000000" w:themeColor="text1"/>
        </w:rPr>
        <w:t>una variazione positiva nella posta A3 e un valore positivo nella posta A1</w:t>
      </w:r>
    </w:p>
    <w:p w14:paraId="7E5A2298" w14:textId="77777777" w:rsidR="00B66628" w:rsidRPr="00BA4A1E" w:rsidRDefault="00B66628" w:rsidP="00B66628">
      <w:pPr>
        <w:pStyle w:val="Paragrafoelenco"/>
        <w:numPr>
          <w:ilvl w:val="0"/>
          <w:numId w:val="2"/>
        </w:numPr>
        <w:spacing w:after="0" w:line="240" w:lineRule="exact"/>
        <w:jc w:val="both"/>
        <w:rPr>
          <w:rFonts w:ascii="Verdana" w:hAnsi="Verdana" w:cs="Arial"/>
          <w:color w:val="000000" w:themeColor="text1"/>
        </w:rPr>
      </w:pPr>
      <w:r w:rsidRPr="00BA4A1E">
        <w:rPr>
          <w:rFonts w:ascii="Verdana" w:hAnsi="Verdana" w:cs="Arial"/>
          <w:color w:val="000000" w:themeColor="text1"/>
        </w:rPr>
        <w:t>una variazione positiva nella posta A2 e un valore positivo nella posta A3</w:t>
      </w:r>
    </w:p>
    <w:p w14:paraId="62EE14AE" w14:textId="77777777" w:rsidR="00B66628" w:rsidRPr="00BA4A1E" w:rsidRDefault="00B66628" w:rsidP="00B66628">
      <w:pPr>
        <w:pStyle w:val="Paragrafoelenco"/>
        <w:numPr>
          <w:ilvl w:val="0"/>
          <w:numId w:val="2"/>
        </w:numPr>
        <w:spacing w:after="0" w:line="240" w:lineRule="exact"/>
        <w:jc w:val="both"/>
        <w:rPr>
          <w:rFonts w:ascii="Verdana" w:hAnsi="Verdana" w:cs="Arial"/>
          <w:color w:val="000000" w:themeColor="text1"/>
        </w:rPr>
      </w:pPr>
      <w:r w:rsidRPr="00BA4A1E">
        <w:rPr>
          <w:rFonts w:ascii="Verdana" w:hAnsi="Verdana" w:cs="Arial"/>
          <w:color w:val="000000" w:themeColor="text1"/>
        </w:rPr>
        <w:t>nessuna delle precedenti è corretta</w:t>
      </w:r>
    </w:p>
    <w:p w14:paraId="629C53F7" w14:textId="77777777" w:rsidR="00B66628" w:rsidRPr="00BA4A1E" w:rsidRDefault="00B66628" w:rsidP="00B66628">
      <w:pPr>
        <w:rPr>
          <w:rFonts w:ascii="Verdana" w:hAnsi="Verdana" w:cs="Arial"/>
          <w:color w:val="000000" w:themeColor="text1"/>
          <w:sz w:val="22"/>
          <w:szCs w:val="22"/>
        </w:rPr>
      </w:pPr>
    </w:p>
    <w:p w14:paraId="224E1521" w14:textId="71A1EF1A" w:rsidR="00B66628" w:rsidRPr="00BA4A1E" w:rsidRDefault="00B66628" w:rsidP="00B66628">
      <w:pPr>
        <w:jc w:val="both"/>
        <w:rPr>
          <w:rFonts w:ascii="Verdana" w:hAnsi="Verdana" w:cs="Arial"/>
          <w:color w:val="000000" w:themeColor="text1"/>
          <w:sz w:val="22"/>
          <w:szCs w:val="22"/>
        </w:rPr>
      </w:pPr>
      <w:r w:rsidRPr="00BA4A1E">
        <w:rPr>
          <w:rFonts w:ascii="Verdana" w:hAnsi="Verdana" w:cs="Arial"/>
          <w:color w:val="000000" w:themeColor="text1"/>
          <w:sz w:val="22"/>
          <w:szCs w:val="22"/>
        </w:rPr>
        <w:lastRenderedPageBreak/>
        <w:t>16. Qualora una società chiudesse il proprio esercizio in data 30/09/16 il termine ordinario per la convocazione dell’assemblea per approvare il bilancio sarebbe il:</w:t>
      </w:r>
    </w:p>
    <w:p w14:paraId="288D6A22" w14:textId="77777777" w:rsidR="00B66628" w:rsidRPr="00BA4A1E" w:rsidRDefault="00B66628" w:rsidP="00B66628">
      <w:pPr>
        <w:numPr>
          <w:ilvl w:val="0"/>
          <w:numId w:val="1"/>
        </w:numPr>
        <w:jc w:val="both"/>
        <w:rPr>
          <w:rFonts w:ascii="Verdana" w:hAnsi="Verdana" w:cs="Arial"/>
          <w:color w:val="000000" w:themeColor="text1"/>
          <w:sz w:val="22"/>
          <w:szCs w:val="22"/>
        </w:rPr>
      </w:pPr>
      <w:r w:rsidRPr="00BA4A1E">
        <w:rPr>
          <w:rFonts w:ascii="Verdana" w:hAnsi="Verdana" w:cs="Arial"/>
          <w:color w:val="000000" w:themeColor="text1"/>
          <w:spacing w:val="-2"/>
          <w:sz w:val="22"/>
          <w:szCs w:val="22"/>
        </w:rPr>
        <w:t>31/12/16</w:t>
      </w:r>
    </w:p>
    <w:p w14:paraId="542D5758" w14:textId="77777777" w:rsidR="00B66628" w:rsidRPr="00BA4A1E" w:rsidRDefault="00B66628" w:rsidP="00B66628">
      <w:pPr>
        <w:numPr>
          <w:ilvl w:val="0"/>
          <w:numId w:val="1"/>
        </w:numPr>
        <w:jc w:val="both"/>
        <w:rPr>
          <w:rFonts w:ascii="Verdana" w:hAnsi="Verdana" w:cs="Arial"/>
          <w:color w:val="000000" w:themeColor="text1"/>
          <w:sz w:val="22"/>
          <w:szCs w:val="22"/>
        </w:rPr>
      </w:pPr>
      <w:r w:rsidRPr="00BA4A1E">
        <w:rPr>
          <w:rFonts w:ascii="Verdana" w:hAnsi="Verdana" w:cs="Arial"/>
          <w:color w:val="000000" w:themeColor="text1"/>
          <w:spacing w:val="-2"/>
          <w:sz w:val="22"/>
          <w:szCs w:val="22"/>
        </w:rPr>
        <w:t>28/01/17</w:t>
      </w:r>
    </w:p>
    <w:p w14:paraId="6A7C9F43" w14:textId="77777777" w:rsidR="00B66628" w:rsidRPr="00BA4A1E" w:rsidRDefault="00B66628" w:rsidP="00B66628">
      <w:pPr>
        <w:numPr>
          <w:ilvl w:val="0"/>
          <w:numId w:val="1"/>
        </w:numPr>
        <w:jc w:val="both"/>
        <w:rPr>
          <w:rFonts w:ascii="Verdana" w:hAnsi="Verdana" w:cs="Arial"/>
          <w:color w:val="000000" w:themeColor="text1"/>
          <w:sz w:val="22"/>
          <w:szCs w:val="22"/>
        </w:rPr>
      </w:pPr>
      <w:r w:rsidRPr="00BA4A1E">
        <w:rPr>
          <w:rFonts w:ascii="Verdana" w:hAnsi="Verdana" w:cs="Arial"/>
          <w:color w:val="000000" w:themeColor="text1"/>
          <w:spacing w:val="-2"/>
          <w:sz w:val="22"/>
          <w:szCs w:val="22"/>
        </w:rPr>
        <w:t>28/02/17</w:t>
      </w:r>
    </w:p>
    <w:p w14:paraId="49F6B471" w14:textId="77777777" w:rsidR="00B66628" w:rsidRPr="00BA4A1E" w:rsidRDefault="00B66628" w:rsidP="00B66628">
      <w:pPr>
        <w:numPr>
          <w:ilvl w:val="0"/>
          <w:numId w:val="1"/>
        </w:numPr>
        <w:jc w:val="both"/>
        <w:rPr>
          <w:rFonts w:ascii="Verdana" w:hAnsi="Verdana" w:cs="Arial"/>
          <w:bCs/>
          <w:color w:val="000000" w:themeColor="text1"/>
          <w:sz w:val="22"/>
          <w:szCs w:val="22"/>
        </w:rPr>
      </w:pPr>
      <w:r w:rsidRPr="00BA4A1E">
        <w:rPr>
          <w:rFonts w:ascii="Verdana" w:hAnsi="Verdana" w:cs="Arial"/>
          <w:bCs/>
          <w:color w:val="000000" w:themeColor="text1"/>
          <w:sz w:val="22"/>
          <w:szCs w:val="22"/>
        </w:rPr>
        <w:t>30/04/17</w:t>
      </w:r>
    </w:p>
    <w:p w14:paraId="18752A7F" w14:textId="77777777" w:rsidR="00B66628" w:rsidRPr="00BA4A1E" w:rsidRDefault="00B66628" w:rsidP="00B66628">
      <w:pPr>
        <w:rPr>
          <w:rFonts w:ascii="Verdana" w:hAnsi="Verdana" w:cs="Arial"/>
          <w:color w:val="000000" w:themeColor="text1"/>
          <w:sz w:val="22"/>
          <w:szCs w:val="22"/>
        </w:rPr>
      </w:pPr>
    </w:p>
    <w:p w14:paraId="61EBFCA3" w14:textId="607B159D" w:rsidR="00B66628" w:rsidRPr="00BA4A1E" w:rsidRDefault="00B66628" w:rsidP="00B66628">
      <w:pPr>
        <w:spacing w:line="240" w:lineRule="exact"/>
        <w:ind w:right="-1"/>
        <w:jc w:val="both"/>
        <w:rPr>
          <w:rFonts w:ascii="Verdana" w:hAnsi="Verdana" w:cs="Arial"/>
          <w:color w:val="000000" w:themeColor="text1"/>
          <w:sz w:val="22"/>
          <w:szCs w:val="22"/>
        </w:rPr>
      </w:pPr>
      <w:r w:rsidRPr="00BA4A1E">
        <w:rPr>
          <w:rFonts w:ascii="Verdana" w:hAnsi="Verdana" w:cs="Arial"/>
          <w:color w:val="000000" w:themeColor="text1"/>
          <w:sz w:val="22"/>
          <w:szCs w:val="22"/>
        </w:rPr>
        <w:t>17. Se, nella valutazione delle partecipazioni con il metodo del patrimonio netto, nell’assestamento emerge un minor valore del costo rispetto alla quota di netto acquistata, la causa può essere attribuibile a:</w:t>
      </w:r>
    </w:p>
    <w:p w14:paraId="3547E364" w14:textId="77777777" w:rsidR="00B66628" w:rsidRPr="00BA4A1E" w:rsidRDefault="00B66628" w:rsidP="00B66628">
      <w:pPr>
        <w:numPr>
          <w:ilvl w:val="0"/>
          <w:numId w:val="1"/>
        </w:numPr>
        <w:spacing w:line="240" w:lineRule="exact"/>
        <w:ind w:right="-1"/>
        <w:jc w:val="both"/>
        <w:rPr>
          <w:rFonts w:ascii="Verdana" w:hAnsi="Verdana" w:cs="Arial"/>
          <w:color w:val="000000" w:themeColor="text1"/>
          <w:sz w:val="22"/>
          <w:szCs w:val="22"/>
        </w:rPr>
      </w:pPr>
      <w:r w:rsidRPr="00BA4A1E">
        <w:rPr>
          <w:rFonts w:ascii="Verdana" w:hAnsi="Verdana" w:cs="Arial"/>
          <w:color w:val="000000" w:themeColor="text1"/>
          <w:sz w:val="22"/>
          <w:szCs w:val="22"/>
        </w:rPr>
        <w:t>buon affare</w:t>
      </w:r>
    </w:p>
    <w:p w14:paraId="21EB3591" w14:textId="77777777" w:rsidR="00B66628" w:rsidRPr="00BA4A1E" w:rsidRDefault="00B66628" w:rsidP="00B66628">
      <w:pPr>
        <w:numPr>
          <w:ilvl w:val="0"/>
          <w:numId w:val="1"/>
        </w:numPr>
        <w:spacing w:line="240" w:lineRule="exact"/>
        <w:ind w:right="-1"/>
        <w:jc w:val="both"/>
        <w:rPr>
          <w:rFonts w:ascii="Verdana" w:hAnsi="Verdana" w:cs="Arial"/>
          <w:color w:val="000000" w:themeColor="text1"/>
          <w:sz w:val="22"/>
          <w:szCs w:val="22"/>
        </w:rPr>
      </w:pPr>
      <w:r w:rsidRPr="00BA4A1E">
        <w:rPr>
          <w:rFonts w:ascii="Verdana" w:hAnsi="Verdana" w:cs="Arial"/>
          <w:color w:val="000000" w:themeColor="text1"/>
          <w:sz w:val="22"/>
          <w:szCs w:val="22"/>
        </w:rPr>
        <w:t>plusvalenze latenti su beni non espresse nel bilancio della controllata</w:t>
      </w:r>
    </w:p>
    <w:p w14:paraId="5772C508" w14:textId="77777777" w:rsidR="00B66628" w:rsidRPr="00BA4A1E" w:rsidRDefault="00B66628" w:rsidP="00B66628">
      <w:pPr>
        <w:numPr>
          <w:ilvl w:val="0"/>
          <w:numId w:val="1"/>
        </w:numPr>
        <w:spacing w:line="240" w:lineRule="exact"/>
        <w:ind w:right="-1"/>
        <w:jc w:val="both"/>
        <w:rPr>
          <w:rFonts w:ascii="Verdana" w:hAnsi="Verdana" w:cs="Arial"/>
          <w:color w:val="000000" w:themeColor="text1"/>
          <w:sz w:val="22"/>
          <w:szCs w:val="22"/>
        </w:rPr>
      </w:pPr>
      <w:r w:rsidRPr="00BA4A1E">
        <w:rPr>
          <w:rFonts w:ascii="Verdana" w:hAnsi="Verdana" w:cs="Arial"/>
          <w:color w:val="000000" w:themeColor="text1"/>
          <w:sz w:val="22"/>
          <w:szCs w:val="22"/>
        </w:rPr>
        <w:t>avviamento non espresso nel bilancio della controllata</w:t>
      </w:r>
    </w:p>
    <w:p w14:paraId="68FD9713" w14:textId="77777777" w:rsidR="00B66628" w:rsidRPr="00BA4A1E" w:rsidRDefault="00B66628" w:rsidP="00B66628">
      <w:pPr>
        <w:numPr>
          <w:ilvl w:val="0"/>
          <w:numId w:val="1"/>
        </w:numPr>
        <w:spacing w:line="240" w:lineRule="exact"/>
        <w:ind w:right="-1"/>
        <w:jc w:val="both"/>
        <w:rPr>
          <w:rFonts w:ascii="Verdana" w:hAnsi="Verdana" w:cs="Arial"/>
          <w:color w:val="000000" w:themeColor="text1"/>
          <w:sz w:val="22"/>
          <w:szCs w:val="22"/>
        </w:rPr>
      </w:pPr>
      <w:r w:rsidRPr="00BA4A1E">
        <w:rPr>
          <w:rFonts w:ascii="Verdana" w:hAnsi="Verdana" w:cs="Arial"/>
          <w:color w:val="000000" w:themeColor="text1"/>
          <w:sz w:val="22"/>
          <w:szCs w:val="22"/>
        </w:rPr>
        <w:t>tutte le precedenti</w:t>
      </w:r>
    </w:p>
    <w:p w14:paraId="6399A591" w14:textId="77777777" w:rsidR="00B66628" w:rsidRPr="00BA4A1E" w:rsidRDefault="00B66628" w:rsidP="00B66628">
      <w:pPr>
        <w:rPr>
          <w:rFonts w:ascii="Verdana" w:hAnsi="Verdana" w:cs="Arial"/>
          <w:color w:val="000000" w:themeColor="text1"/>
          <w:sz w:val="22"/>
          <w:szCs w:val="22"/>
        </w:rPr>
      </w:pPr>
    </w:p>
    <w:p w14:paraId="18719A93" w14:textId="14A6ADC2" w:rsidR="00B66628" w:rsidRPr="00BA4A1E" w:rsidRDefault="00B66628" w:rsidP="00B66628">
      <w:p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 xml:space="preserve">18. Qualora vengano acquistati titoli azionari non a fine speculativo, il relativo valore può essere indicato come: </w:t>
      </w:r>
    </w:p>
    <w:p w14:paraId="5943A648"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valori in cassa</w:t>
      </w:r>
    </w:p>
    <w:p w14:paraId="134F10CB"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altri titoli</w:t>
      </w:r>
    </w:p>
    <w:p w14:paraId="5B440027"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altri titoli destinati alla vendita</w:t>
      </w:r>
    </w:p>
    <w:p w14:paraId="5AC6D226"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altre partecipazioni</w:t>
      </w:r>
    </w:p>
    <w:p w14:paraId="1878F0EC" w14:textId="77777777" w:rsidR="00B66628" w:rsidRPr="00BA4A1E" w:rsidRDefault="00B66628" w:rsidP="00B66628">
      <w:pPr>
        <w:spacing w:line="240" w:lineRule="exact"/>
        <w:jc w:val="both"/>
        <w:rPr>
          <w:rFonts w:ascii="Verdana" w:hAnsi="Verdana" w:cs="Arial"/>
          <w:color w:val="000000" w:themeColor="text1"/>
          <w:sz w:val="22"/>
          <w:szCs w:val="22"/>
        </w:rPr>
      </w:pPr>
    </w:p>
    <w:p w14:paraId="72BF3D89" w14:textId="76401E77" w:rsidR="00B66628" w:rsidRPr="00BA4A1E" w:rsidRDefault="00B66628" w:rsidP="00B66628">
      <w:pPr>
        <w:spacing w:line="240" w:lineRule="exact"/>
        <w:jc w:val="both"/>
        <w:rPr>
          <w:rFonts w:ascii="Verdana" w:hAnsi="Verdana" w:cs="Arial"/>
          <w:sz w:val="22"/>
          <w:szCs w:val="22"/>
        </w:rPr>
      </w:pPr>
      <w:r w:rsidRPr="00BA4A1E">
        <w:rPr>
          <w:rFonts w:ascii="Verdana" w:hAnsi="Verdana" w:cs="Arial"/>
          <w:color w:val="000000" w:themeColor="text1"/>
          <w:sz w:val="22"/>
          <w:szCs w:val="22"/>
        </w:rPr>
        <w:t xml:space="preserve">19. </w:t>
      </w:r>
      <w:r w:rsidRPr="00BA4A1E">
        <w:rPr>
          <w:rFonts w:ascii="Verdana" w:hAnsi="Verdana" w:cs="Arial"/>
          <w:sz w:val="22"/>
          <w:szCs w:val="22"/>
        </w:rPr>
        <w:t>Una società a fronte dell’acquisto di un’immobilizzazione riceve uno specifico contributo. Questa dovrà rilevare:  </w:t>
      </w:r>
    </w:p>
    <w:p w14:paraId="2DA8ACA1" w14:textId="77777777" w:rsidR="00B66628" w:rsidRPr="00BA4A1E" w:rsidRDefault="00B66628" w:rsidP="00B66628">
      <w:pPr>
        <w:pStyle w:val="Paragrafoelenco"/>
        <w:numPr>
          <w:ilvl w:val="0"/>
          <w:numId w:val="2"/>
        </w:numPr>
        <w:spacing w:after="0" w:line="240" w:lineRule="exact"/>
        <w:rPr>
          <w:rFonts w:ascii="Verdana" w:hAnsi="Verdana" w:cs="Arial"/>
        </w:rPr>
      </w:pPr>
      <w:r w:rsidRPr="00BA4A1E">
        <w:rPr>
          <w:rFonts w:ascii="Verdana" w:hAnsi="Verdana" w:cs="Arial"/>
        </w:rPr>
        <w:t>il costo di acquisto al netto del contributo e procedere con l’ammortamento  </w:t>
      </w:r>
    </w:p>
    <w:p w14:paraId="3AF359B5" w14:textId="77777777" w:rsidR="00B66628" w:rsidRPr="00BA4A1E" w:rsidRDefault="00B66628" w:rsidP="00B66628">
      <w:pPr>
        <w:pStyle w:val="Paragrafoelenco"/>
        <w:numPr>
          <w:ilvl w:val="0"/>
          <w:numId w:val="2"/>
        </w:numPr>
        <w:spacing w:after="0" w:line="240" w:lineRule="exact"/>
        <w:rPr>
          <w:rFonts w:ascii="Verdana" w:hAnsi="Verdana" w:cs="Arial"/>
        </w:rPr>
      </w:pPr>
      <w:r w:rsidRPr="00BA4A1E">
        <w:rPr>
          <w:rFonts w:ascii="Verdana" w:hAnsi="Verdana" w:cs="Arial"/>
        </w:rPr>
        <w:t>il costo di acquisto ed iscrivere come ricavo pluriennale il contributo e procedere con l’ammortamento e riscontando per competenza il ricavo pluriennale  </w:t>
      </w:r>
    </w:p>
    <w:p w14:paraId="24C53798" w14:textId="77777777" w:rsidR="00B66628" w:rsidRPr="00BA4A1E" w:rsidRDefault="00B66628" w:rsidP="00B66628">
      <w:pPr>
        <w:pStyle w:val="Paragrafoelenco"/>
        <w:numPr>
          <w:ilvl w:val="0"/>
          <w:numId w:val="2"/>
        </w:numPr>
        <w:spacing w:after="0" w:line="240" w:lineRule="exact"/>
        <w:rPr>
          <w:rFonts w:ascii="Verdana" w:hAnsi="Verdana" w:cs="Arial"/>
          <w:color w:val="000000" w:themeColor="text1"/>
        </w:rPr>
      </w:pPr>
      <w:r w:rsidRPr="00BA4A1E">
        <w:rPr>
          <w:rFonts w:ascii="Verdana" w:hAnsi="Verdana" w:cs="Arial"/>
        </w:rPr>
        <w:t xml:space="preserve">entrambe le precedenti procedure sono corrette </w:t>
      </w:r>
    </w:p>
    <w:p w14:paraId="3CF27698" w14:textId="53D784D1" w:rsidR="00B66628" w:rsidRPr="00BA4A1E" w:rsidRDefault="00B66628" w:rsidP="00B66628">
      <w:pPr>
        <w:pStyle w:val="Paragrafoelenco"/>
        <w:numPr>
          <w:ilvl w:val="0"/>
          <w:numId w:val="2"/>
        </w:numPr>
        <w:spacing w:after="0" w:line="240" w:lineRule="exact"/>
        <w:rPr>
          <w:rFonts w:ascii="Verdana" w:hAnsi="Verdana" w:cs="Arial"/>
          <w:color w:val="000000" w:themeColor="text1"/>
        </w:rPr>
      </w:pPr>
      <w:r w:rsidRPr="00BA4A1E">
        <w:rPr>
          <w:rFonts w:ascii="Verdana" w:hAnsi="Verdana" w:cs="Arial"/>
        </w:rPr>
        <w:t>entrambe le precedenti procedure non sono corrette</w:t>
      </w:r>
    </w:p>
    <w:p w14:paraId="0E0F32E0" w14:textId="77777777" w:rsidR="00B66628" w:rsidRPr="00BA4A1E" w:rsidRDefault="00B66628" w:rsidP="00B66628">
      <w:pPr>
        <w:pStyle w:val="Paragrafoelenco"/>
        <w:spacing w:after="0" w:line="240" w:lineRule="exact"/>
        <w:rPr>
          <w:rFonts w:ascii="Verdana" w:hAnsi="Verdana" w:cs="Arial"/>
          <w:color w:val="000000" w:themeColor="text1"/>
        </w:rPr>
      </w:pPr>
    </w:p>
    <w:p w14:paraId="3CBC7DC9" w14:textId="401A755A" w:rsidR="00B66628" w:rsidRPr="00BA4A1E" w:rsidRDefault="00B66628" w:rsidP="00B66628">
      <w:p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 xml:space="preserve">20. La capitalizzazione di oneri pluriennali può essere un esempio di: </w:t>
      </w:r>
    </w:p>
    <w:p w14:paraId="26325652"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saturazione del capitale</w:t>
      </w:r>
    </w:p>
    <w:p w14:paraId="74265A82"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annacquamento del capitale</w:t>
      </w:r>
    </w:p>
    <w:p w14:paraId="7E6B1B71"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applicazione del principio di prudenza</w:t>
      </w:r>
    </w:p>
    <w:p w14:paraId="6E08C5BE" w14:textId="77777777" w:rsidR="00B66628" w:rsidRPr="00BA4A1E" w:rsidRDefault="00B66628" w:rsidP="00B66628">
      <w:pPr>
        <w:numPr>
          <w:ilvl w:val="0"/>
          <w:numId w:val="1"/>
        </w:numPr>
        <w:spacing w:line="240" w:lineRule="exact"/>
        <w:jc w:val="both"/>
        <w:rPr>
          <w:rFonts w:ascii="Verdana" w:hAnsi="Verdana" w:cs="Arial"/>
          <w:color w:val="000000" w:themeColor="text1"/>
          <w:sz w:val="22"/>
          <w:szCs w:val="22"/>
        </w:rPr>
      </w:pPr>
      <w:r w:rsidRPr="00BA4A1E">
        <w:rPr>
          <w:rFonts w:ascii="Verdana" w:hAnsi="Verdana" w:cs="Arial"/>
          <w:color w:val="000000" w:themeColor="text1"/>
          <w:sz w:val="22"/>
          <w:szCs w:val="22"/>
        </w:rPr>
        <w:t>applicazione del principio di separata valutazione</w:t>
      </w:r>
    </w:p>
    <w:p w14:paraId="6197086D" w14:textId="77777777" w:rsidR="00B66628" w:rsidRPr="00BA4A1E" w:rsidRDefault="00B66628" w:rsidP="00B66628">
      <w:pPr>
        <w:rPr>
          <w:rFonts w:ascii="Verdana" w:hAnsi="Verdana" w:cs="Arial"/>
          <w:color w:val="000000" w:themeColor="text1"/>
          <w:sz w:val="22"/>
          <w:szCs w:val="22"/>
        </w:rPr>
      </w:pPr>
    </w:p>
    <w:p w14:paraId="205DC13D" w14:textId="77777777" w:rsidR="00134B64" w:rsidRPr="00BA4A1E" w:rsidRDefault="00134B64">
      <w:pPr>
        <w:rPr>
          <w:rFonts w:ascii="Verdana" w:hAnsi="Verdana"/>
          <w:bCs/>
          <w:sz w:val="22"/>
          <w:szCs w:val="22"/>
        </w:rPr>
      </w:pPr>
      <w:r w:rsidRPr="00BA4A1E">
        <w:rPr>
          <w:rFonts w:ascii="Verdana" w:hAnsi="Verdana"/>
          <w:bCs/>
          <w:sz w:val="22"/>
          <w:szCs w:val="22"/>
        </w:rPr>
        <w:br w:type="page"/>
      </w:r>
    </w:p>
    <w:p w14:paraId="6290E20B" w14:textId="08578389" w:rsidR="00134B64" w:rsidRPr="00BA4A1E" w:rsidRDefault="00134B64" w:rsidP="00134B64">
      <w:pPr>
        <w:ind w:right="-1"/>
        <w:rPr>
          <w:rFonts w:ascii="Verdana" w:hAnsi="Verdana"/>
          <w:bCs/>
          <w:sz w:val="22"/>
          <w:szCs w:val="22"/>
        </w:rPr>
      </w:pPr>
      <w:r w:rsidRPr="00BA4A1E">
        <w:rPr>
          <w:rFonts w:ascii="Verdana" w:hAnsi="Verdana"/>
          <w:bCs/>
          <w:sz w:val="22"/>
          <w:szCs w:val="22"/>
        </w:rPr>
        <w:lastRenderedPageBreak/>
        <w:t>ESERCIZIO 1 (30 punti)</w:t>
      </w:r>
    </w:p>
    <w:p w14:paraId="6B3CB9FA" w14:textId="77777777" w:rsidR="00134B64" w:rsidRPr="00BA4A1E" w:rsidRDefault="00134B64" w:rsidP="00134B64">
      <w:pPr>
        <w:spacing w:line="360" w:lineRule="auto"/>
        <w:jc w:val="both"/>
        <w:rPr>
          <w:rFonts w:ascii="Verdana" w:hAnsi="Verdana"/>
          <w:i/>
          <w:sz w:val="22"/>
          <w:szCs w:val="22"/>
        </w:rPr>
      </w:pPr>
      <w:r w:rsidRPr="00BA4A1E">
        <w:rPr>
          <w:rFonts w:ascii="Verdana" w:hAnsi="Verdana"/>
          <w:i/>
          <w:sz w:val="22"/>
          <w:szCs w:val="22"/>
        </w:rPr>
        <w:t>Si richiede di:</w:t>
      </w:r>
    </w:p>
    <w:p w14:paraId="2C387317" w14:textId="77777777" w:rsidR="00C000E6" w:rsidRPr="00BA4A1E" w:rsidRDefault="00C000E6" w:rsidP="00C000E6">
      <w:pPr>
        <w:numPr>
          <w:ilvl w:val="0"/>
          <w:numId w:val="7"/>
        </w:numPr>
        <w:spacing w:line="240" w:lineRule="atLeast"/>
        <w:ind w:left="714" w:hanging="357"/>
        <w:jc w:val="both"/>
        <w:rPr>
          <w:rFonts w:ascii="Verdana" w:hAnsi="Verdana"/>
          <w:i/>
          <w:sz w:val="22"/>
          <w:szCs w:val="22"/>
        </w:rPr>
      </w:pPr>
      <w:r w:rsidRPr="00BA4A1E">
        <w:rPr>
          <w:rFonts w:ascii="Verdana" w:hAnsi="Verdana"/>
          <w:i/>
          <w:sz w:val="22"/>
          <w:szCs w:val="22"/>
        </w:rPr>
        <w:t>rilevare le operazioni continuative e di assestamento secondo le informazioni fornite, senza procedere alle scritture di chiusura dei conti economici di reddito e di quelli finanziario-patrimoniali;</w:t>
      </w:r>
    </w:p>
    <w:p w14:paraId="0CA40410" w14:textId="77777777" w:rsidR="00C000E6" w:rsidRPr="00BA4A1E" w:rsidRDefault="00C000E6" w:rsidP="00C000E6">
      <w:pPr>
        <w:numPr>
          <w:ilvl w:val="0"/>
          <w:numId w:val="7"/>
        </w:numPr>
        <w:spacing w:line="240" w:lineRule="atLeast"/>
        <w:ind w:left="714" w:hanging="357"/>
        <w:jc w:val="both"/>
        <w:rPr>
          <w:rFonts w:ascii="Verdana" w:hAnsi="Verdana"/>
          <w:i/>
          <w:sz w:val="22"/>
          <w:szCs w:val="22"/>
        </w:rPr>
      </w:pPr>
      <w:r w:rsidRPr="00BA4A1E">
        <w:rPr>
          <w:rFonts w:ascii="Verdana" w:hAnsi="Verdana"/>
          <w:i/>
          <w:sz w:val="22"/>
          <w:szCs w:val="22"/>
        </w:rPr>
        <w:t>iscrivere ciascun conto movimentato nel bilancio civilistico al 31 dicembre con il relativo importo, ivi compresi quelli presenti nella SP all’1.1.</w:t>
      </w:r>
    </w:p>
    <w:p w14:paraId="2CA5A732" w14:textId="77777777" w:rsidR="00C000E6" w:rsidRPr="00BA4A1E" w:rsidRDefault="00C000E6" w:rsidP="00C000E6">
      <w:pPr>
        <w:numPr>
          <w:ilvl w:val="0"/>
          <w:numId w:val="7"/>
        </w:numPr>
        <w:spacing w:line="240" w:lineRule="atLeast"/>
        <w:ind w:left="714" w:hanging="357"/>
        <w:jc w:val="both"/>
        <w:rPr>
          <w:rFonts w:ascii="Verdana" w:hAnsi="Verdana"/>
          <w:i/>
          <w:sz w:val="22"/>
          <w:szCs w:val="22"/>
        </w:rPr>
      </w:pPr>
    </w:p>
    <w:p w14:paraId="4E425399" w14:textId="77777777" w:rsidR="00134B64" w:rsidRPr="00BA4A1E" w:rsidRDefault="00134B64" w:rsidP="00134B64">
      <w:pPr>
        <w:spacing w:line="360" w:lineRule="auto"/>
        <w:rPr>
          <w:rFonts w:ascii="Verdana" w:hAnsi="Verdana"/>
          <w:sz w:val="22"/>
          <w:szCs w:val="22"/>
        </w:rPr>
      </w:pPr>
      <w:r w:rsidRPr="00BA4A1E">
        <w:rPr>
          <w:rFonts w:ascii="Verdana" w:hAnsi="Verdana"/>
          <w:sz w:val="22"/>
          <w:szCs w:val="22"/>
        </w:rPr>
        <w:t>In data 1 gennaio la Motor S.p.A. presenta la seguente situazione patrimoniale:</w:t>
      </w:r>
    </w:p>
    <w:tbl>
      <w:tblPr>
        <w:tblW w:w="9735" w:type="dxa"/>
        <w:jc w:val="center"/>
        <w:tblCellMar>
          <w:left w:w="70" w:type="dxa"/>
          <w:right w:w="70" w:type="dxa"/>
        </w:tblCellMar>
        <w:tblLook w:val="04A0" w:firstRow="1" w:lastRow="0" w:firstColumn="1" w:lastColumn="0" w:noHBand="0" w:noVBand="1"/>
      </w:tblPr>
      <w:tblGrid>
        <w:gridCol w:w="2540"/>
        <w:gridCol w:w="1848"/>
        <w:gridCol w:w="233"/>
        <w:gridCol w:w="3366"/>
        <w:gridCol w:w="1748"/>
      </w:tblGrid>
      <w:tr w:rsidR="00134B64" w:rsidRPr="00BA4A1E" w14:paraId="1E50C7C7" w14:textId="77777777" w:rsidTr="00134B64">
        <w:trPr>
          <w:trHeight w:val="295"/>
          <w:jc w:val="center"/>
        </w:trPr>
        <w:tc>
          <w:tcPr>
            <w:tcW w:w="9735" w:type="dxa"/>
            <w:gridSpan w:val="5"/>
            <w:tcBorders>
              <w:top w:val="single" w:sz="4" w:space="0" w:color="auto"/>
              <w:left w:val="single" w:sz="4" w:space="0" w:color="auto"/>
              <w:bottom w:val="single" w:sz="4" w:space="0" w:color="auto"/>
              <w:right w:val="single" w:sz="4" w:space="0" w:color="000000"/>
            </w:tcBorders>
            <w:noWrap/>
            <w:vAlign w:val="bottom"/>
          </w:tcPr>
          <w:p w14:paraId="618DF730" w14:textId="77777777" w:rsidR="00134B64" w:rsidRPr="00BA4A1E" w:rsidRDefault="00134B64" w:rsidP="00134B64">
            <w:pPr>
              <w:jc w:val="center"/>
              <w:rPr>
                <w:rFonts w:ascii="Verdana" w:hAnsi="Verdana" w:cs="Arial"/>
                <w:bCs/>
                <w:sz w:val="22"/>
                <w:szCs w:val="22"/>
              </w:rPr>
            </w:pPr>
            <w:r w:rsidRPr="00BA4A1E">
              <w:rPr>
                <w:rFonts w:ascii="Verdana" w:hAnsi="Verdana" w:cs="Arial"/>
                <w:bCs/>
                <w:sz w:val="22"/>
                <w:szCs w:val="22"/>
              </w:rPr>
              <w:t>SITUAZIONE PATRIMONIALE</w:t>
            </w:r>
          </w:p>
        </w:tc>
      </w:tr>
      <w:tr w:rsidR="00134B64" w:rsidRPr="00BA4A1E" w14:paraId="7752186A" w14:textId="77777777" w:rsidTr="00134B64">
        <w:trPr>
          <w:trHeight w:val="266"/>
          <w:jc w:val="center"/>
        </w:trPr>
        <w:tc>
          <w:tcPr>
            <w:tcW w:w="2540" w:type="dxa"/>
            <w:tcBorders>
              <w:top w:val="nil"/>
              <w:left w:val="single" w:sz="4" w:space="0" w:color="auto"/>
              <w:bottom w:val="single" w:sz="4" w:space="0" w:color="auto"/>
              <w:right w:val="nil"/>
            </w:tcBorders>
            <w:noWrap/>
            <w:vAlign w:val="bottom"/>
          </w:tcPr>
          <w:p w14:paraId="1C0CE0E1" w14:textId="77777777" w:rsidR="00134B64" w:rsidRPr="00BA4A1E" w:rsidRDefault="00134B64" w:rsidP="00134B64">
            <w:pPr>
              <w:rPr>
                <w:rFonts w:ascii="Verdana" w:hAnsi="Verdana" w:cs="Arial"/>
                <w:sz w:val="22"/>
                <w:szCs w:val="22"/>
              </w:rPr>
            </w:pPr>
            <w:r w:rsidRPr="00BA4A1E">
              <w:rPr>
                <w:rFonts w:ascii="Verdana" w:hAnsi="Verdana" w:cs="Arial"/>
                <w:sz w:val="22"/>
                <w:szCs w:val="22"/>
              </w:rPr>
              <w:t>Terreni</w:t>
            </w:r>
          </w:p>
        </w:tc>
        <w:tc>
          <w:tcPr>
            <w:tcW w:w="1848" w:type="dxa"/>
            <w:tcBorders>
              <w:top w:val="nil"/>
              <w:left w:val="nil"/>
              <w:bottom w:val="single" w:sz="4" w:space="0" w:color="auto"/>
              <w:right w:val="nil"/>
            </w:tcBorders>
            <w:noWrap/>
            <w:vAlign w:val="bottom"/>
          </w:tcPr>
          <w:p w14:paraId="351BEB6F" w14:textId="77777777" w:rsidR="00134B64" w:rsidRPr="00BA4A1E" w:rsidRDefault="00134B64" w:rsidP="00134B64">
            <w:pPr>
              <w:jc w:val="right"/>
              <w:rPr>
                <w:rFonts w:ascii="Verdana" w:hAnsi="Verdana" w:cs="Arial"/>
                <w:sz w:val="22"/>
                <w:szCs w:val="22"/>
              </w:rPr>
            </w:pPr>
            <w:r w:rsidRPr="00BA4A1E">
              <w:rPr>
                <w:rFonts w:ascii="Verdana" w:hAnsi="Verdana" w:cs="Arial"/>
                <w:sz w:val="22"/>
                <w:szCs w:val="22"/>
              </w:rPr>
              <w:t>60.000,00</w:t>
            </w:r>
          </w:p>
        </w:tc>
        <w:tc>
          <w:tcPr>
            <w:tcW w:w="233" w:type="dxa"/>
            <w:tcBorders>
              <w:top w:val="nil"/>
              <w:left w:val="single" w:sz="4" w:space="0" w:color="auto"/>
              <w:bottom w:val="nil"/>
              <w:right w:val="single" w:sz="4" w:space="0" w:color="auto"/>
            </w:tcBorders>
            <w:noWrap/>
            <w:vAlign w:val="bottom"/>
          </w:tcPr>
          <w:p w14:paraId="0B23D70C" w14:textId="77777777" w:rsidR="00134B64" w:rsidRPr="00BA4A1E" w:rsidRDefault="00134B64" w:rsidP="00134B64">
            <w:pPr>
              <w:rPr>
                <w:rFonts w:ascii="Verdana" w:hAnsi="Verdana" w:cs="Arial"/>
                <w:sz w:val="22"/>
                <w:szCs w:val="22"/>
              </w:rPr>
            </w:pPr>
            <w:r w:rsidRPr="00BA4A1E">
              <w:rPr>
                <w:rFonts w:ascii="Verdana" w:hAnsi="Verdana" w:cs="Arial"/>
                <w:sz w:val="22"/>
                <w:szCs w:val="22"/>
              </w:rPr>
              <w:t> </w:t>
            </w:r>
          </w:p>
        </w:tc>
        <w:tc>
          <w:tcPr>
            <w:tcW w:w="3366" w:type="dxa"/>
            <w:tcBorders>
              <w:top w:val="nil"/>
              <w:left w:val="nil"/>
              <w:bottom w:val="single" w:sz="4" w:space="0" w:color="auto"/>
              <w:right w:val="nil"/>
            </w:tcBorders>
            <w:noWrap/>
            <w:vAlign w:val="bottom"/>
          </w:tcPr>
          <w:p w14:paraId="78FD930A" w14:textId="77777777" w:rsidR="00134B64" w:rsidRPr="00BA4A1E" w:rsidRDefault="00134B64" w:rsidP="00134B64">
            <w:pPr>
              <w:rPr>
                <w:rFonts w:ascii="Verdana" w:hAnsi="Verdana" w:cs="Arial"/>
                <w:sz w:val="22"/>
                <w:szCs w:val="22"/>
              </w:rPr>
            </w:pPr>
            <w:r w:rsidRPr="00BA4A1E">
              <w:rPr>
                <w:rFonts w:ascii="Verdana" w:hAnsi="Verdana" w:cs="Arial"/>
                <w:sz w:val="22"/>
                <w:szCs w:val="22"/>
              </w:rPr>
              <w:t>Capitale Sociale</w:t>
            </w:r>
          </w:p>
        </w:tc>
        <w:tc>
          <w:tcPr>
            <w:tcW w:w="1748" w:type="dxa"/>
            <w:tcBorders>
              <w:top w:val="nil"/>
              <w:left w:val="nil"/>
              <w:bottom w:val="single" w:sz="4" w:space="0" w:color="auto"/>
              <w:right w:val="single" w:sz="4" w:space="0" w:color="auto"/>
            </w:tcBorders>
            <w:noWrap/>
            <w:vAlign w:val="bottom"/>
          </w:tcPr>
          <w:p w14:paraId="32FEE2DD" w14:textId="77777777" w:rsidR="00134B64" w:rsidRPr="00BA4A1E" w:rsidRDefault="00134B64" w:rsidP="00134B64">
            <w:pPr>
              <w:jc w:val="right"/>
              <w:rPr>
                <w:rFonts w:ascii="Verdana" w:hAnsi="Verdana" w:cs="Arial"/>
                <w:sz w:val="22"/>
                <w:szCs w:val="22"/>
              </w:rPr>
            </w:pPr>
            <w:r w:rsidRPr="00BA4A1E">
              <w:rPr>
                <w:rFonts w:ascii="Verdana" w:hAnsi="Verdana" w:cs="Arial"/>
                <w:sz w:val="22"/>
                <w:szCs w:val="22"/>
              </w:rPr>
              <w:t>120.000,00</w:t>
            </w:r>
          </w:p>
        </w:tc>
      </w:tr>
      <w:tr w:rsidR="00134B64" w:rsidRPr="00BA4A1E" w14:paraId="38CE5D04" w14:textId="77777777" w:rsidTr="00134B64">
        <w:trPr>
          <w:trHeight w:val="266"/>
          <w:jc w:val="center"/>
        </w:trPr>
        <w:tc>
          <w:tcPr>
            <w:tcW w:w="2540" w:type="dxa"/>
            <w:tcBorders>
              <w:top w:val="nil"/>
              <w:left w:val="single" w:sz="4" w:space="0" w:color="auto"/>
              <w:bottom w:val="single" w:sz="4" w:space="0" w:color="auto"/>
              <w:right w:val="nil"/>
            </w:tcBorders>
            <w:noWrap/>
            <w:vAlign w:val="bottom"/>
          </w:tcPr>
          <w:p w14:paraId="237F9C70" w14:textId="77777777" w:rsidR="00134B64" w:rsidRPr="00BA4A1E" w:rsidRDefault="00134B64" w:rsidP="00134B64">
            <w:pPr>
              <w:rPr>
                <w:rFonts w:ascii="Verdana" w:hAnsi="Verdana" w:cs="Arial"/>
                <w:sz w:val="22"/>
                <w:szCs w:val="22"/>
              </w:rPr>
            </w:pPr>
            <w:r w:rsidRPr="00BA4A1E">
              <w:rPr>
                <w:rFonts w:ascii="Verdana" w:hAnsi="Verdana" w:cs="Arial"/>
                <w:sz w:val="22"/>
                <w:szCs w:val="22"/>
              </w:rPr>
              <w:t>Macchinario</w:t>
            </w:r>
          </w:p>
        </w:tc>
        <w:tc>
          <w:tcPr>
            <w:tcW w:w="1848" w:type="dxa"/>
            <w:tcBorders>
              <w:top w:val="nil"/>
              <w:left w:val="nil"/>
              <w:bottom w:val="single" w:sz="4" w:space="0" w:color="auto"/>
              <w:right w:val="nil"/>
            </w:tcBorders>
            <w:noWrap/>
            <w:vAlign w:val="bottom"/>
          </w:tcPr>
          <w:p w14:paraId="71A126F6" w14:textId="77777777" w:rsidR="00134B64" w:rsidRPr="00BA4A1E" w:rsidRDefault="00134B64" w:rsidP="00134B64">
            <w:pPr>
              <w:jc w:val="right"/>
              <w:rPr>
                <w:rFonts w:ascii="Verdana" w:hAnsi="Verdana" w:cs="Arial"/>
                <w:sz w:val="22"/>
                <w:szCs w:val="22"/>
              </w:rPr>
            </w:pPr>
            <w:r w:rsidRPr="00BA4A1E">
              <w:rPr>
                <w:rFonts w:ascii="Verdana" w:hAnsi="Verdana" w:cs="Arial"/>
                <w:sz w:val="22"/>
                <w:szCs w:val="22"/>
              </w:rPr>
              <w:t>70.000,00</w:t>
            </w:r>
          </w:p>
        </w:tc>
        <w:tc>
          <w:tcPr>
            <w:tcW w:w="233" w:type="dxa"/>
            <w:tcBorders>
              <w:top w:val="nil"/>
              <w:left w:val="single" w:sz="4" w:space="0" w:color="auto"/>
              <w:bottom w:val="nil"/>
              <w:right w:val="single" w:sz="4" w:space="0" w:color="auto"/>
            </w:tcBorders>
            <w:noWrap/>
            <w:vAlign w:val="bottom"/>
          </w:tcPr>
          <w:p w14:paraId="4E60A700" w14:textId="77777777" w:rsidR="00134B64" w:rsidRPr="00BA4A1E" w:rsidRDefault="00134B64" w:rsidP="00134B64">
            <w:pPr>
              <w:rPr>
                <w:rFonts w:ascii="Verdana" w:hAnsi="Verdana" w:cs="Arial"/>
                <w:sz w:val="22"/>
                <w:szCs w:val="22"/>
              </w:rPr>
            </w:pPr>
            <w:r w:rsidRPr="00BA4A1E">
              <w:rPr>
                <w:rFonts w:ascii="Verdana" w:hAnsi="Verdana" w:cs="Arial"/>
                <w:sz w:val="22"/>
                <w:szCs w:val="22"/>
              </w:rPr>
              <w:t> </w:t>
            </w:r>
          </w:p>
        </w:tc>
        <w:tc>
          <w:tcPr>
            <w:tcW w:w="3366" w:type="dxa"/>
            <w:tcBorders>
              <w:top w:val="nil"/>
              <w:left w:val="nil"/>
              <w:bottom w:val="single" w:sz="4" w:space="0" w:color="auto"/>
              <w:right w:val="nil"/>
            </w:tcBorders>
            <w:noWrap/>
            <w:vAlign w:val="bottom"/>
          </w:tcPr>
          <w:p w14:paraId="6CF379BF" w14:textId="77777777" w:rsidR="00134B64" w:rsidRPr="00BA4A1E" w:rsidRDefault="00134B64" w:rsidP="00134B64">
            <w:pPr>
              <w:rPr>
                <w:rFonts w:ascii="Verdana" w:hAnsi="Verdana" w:cs="Arial"/>
                <w:sz w:val="22"/>
                <w:szCs w:val="22"/>
              </w:rPr>
            </w:pPr>
            <w:r w:rsidRPr="00BA4A1E">
              <w:rPr>
                <w:rFonts w:ascii="Verdana" w:hAnsi="Verdana" w:cs="Arial"/>
                <w:sz w:val="22"/>
                <w:szCs w:val="22"/>
              </w:rPr>
              <w:t>Riserva legale</w:t>
            </w:r>
          </w:p>
        </w:tc>
        <w:tc>
          <w:tcPr>
            <w:tcW w:w="1748" w:type="dxa"/>
            <w:tcBorders>
              <w:top w:val="nil"/>
              <w:left w:val="nil"/>
              <w:bottom w:val="single" w:sz="4" w:space="0" w:color="auto"/>
              <w:right w:val="single" w:sz="4" w:space="0" w:color="auto"/>
            </w:tcBorders>
            <w:noWrap/>
            <w:vAlign w:val="bottom"/>
          </w:tcPr>
          <w:p w14:paraId="539290EB" w14:textId="2D22D08E" w:rsidR="00134B64" w:rsidRPr="00BA4A1E" w:rsidRDefault="00134B64" w:rsidP="00157FEF">
            <w:pPr>
              <w:jc w:val="right"/>
              <w:rPr>
                <w:rFonts w:ascii="Verdana" w:hAnsi="Verdana" w:cs="Arial"/>
                <w:sz w:val="22"/>
                <w:szCs w:val="22"/>
              </w:rPr>
            </w:pPr>
            <w:r w:rsidRPr="00BA4A1E">
              <w:rPr>
                <w:rFonts w:ascii="Verdana" w:hAnsi="Verdana" w:cs="Arial"/>
                <w:sz w:val="22"/>
                <w:szCs w:val="22"/>
              </w:rPr>
              <w:t>2</w:t>
            </w:r>
            <w:r w:rsidR="00157FEF" w:rsidRPr="00BA4A1E">
              <w:rPr>
                <w:rFonts w:ascii="Verdana" w:hAnsi="Verdana" w:cs="Arial"/>
                <w:sz w:val="22"/>
                <w:szCs w:val="22"/>
              </w:rPr>
              <w:t>2</w:t>
            </w:r>
            <w:r w:rsidRPr="00BA4A1E">
              <w:rPr>
                <w:rFonts w:ascii="Verdana" w:hAnsi="Verdana" w:cs="Arial"/>
                <w:sz w:val="22"/>
                <w:szCs w:val="22"/>
              </w:rPr>
              <w:t>.000,00</w:t>
            </w:r>
          </w:p>
        </w:tc>
      </w:tr>
      <w:tr w:rsidR="00134B64" w:rsidRPr="00BA4A1E" w14:paraId="037A5DE0" w14:textId="77777777" w:rsidTr="00134B64">
        <w:trPr>
          <w:trHeight w:val="266"/>
          <w:jc w:val="center"/>
        </w:trPr>
        <w:tc>
          <w:tcPr>
            <w:tcW w:w="2540" w:type="dxa"/>
            <w:tcBorders>
              <w:top w:val="nil"/>
              <w:left w:val="single" w:sz="4" w:space="0" w:color="auto"/>
              <w:bottom w:val="single" w:sz="4" w:space="0" w:color="auto"/>
              <w:right w:val="nil"/>
            </w:tcBorders>
            <w:noWrap/>
            <w:vAlign w:val="bottom"/>
          </w:tcPr>
          <w:p w14:paraId="5FD32D88" w14:textId="77777777" w:rsidR="00134B64" w:rsidRPr="00BA4A1E" w:rsidRDefault="00134B64" w:rsidP="00134B64">
            <w:pPr>
              <w:rPr>
                <w:rFonts w:ascii="Verdana" w:hAnsi="Verdana" w:cs="Arial"/>
                <w:sz w:val="22"/>
                <w:szCs w:val="22"/>
              </w:rPr>
            </w:pPr>
            <w:r w:rsidRPr="00BA4A1E">
              <w:rPr>
                <w:rFonts w:ascii="Verdana" w:hAnsi="Verdana" w:cs="Arial"/>
                <w:sz w:val="22"/>
                <w:szCs w:val="22"/>
              </w:rPr>
              <w:t>Brevetti</w:t>
            </w:r>
          </w:p>
        </w:tc>
        <w:tc>
          <w:tcPr>
            <w:tcW w:w="1848" w:type="dxa"/>
            <w:tcBorders>
              <w:top w:val="nil"/>
              <w:left w:val="nil"/>
              <w:bottom w:val="single" w:sz="4" w:space="0" w:color="auto"/>
              <w:right w:val="nil"/>
            </w:tcBorders>
            <w:noWrap/>
            <w:vAlign w:val="bottom"/>
          </w:tcPr>
          <w:p w14:paraId="43869465" w14:textId="17F78FD0" w:rsidR="00134B64" w:rsidRPr="00BA4A1E" w:rsidRDefault="00157FEF" w:rsidP="00134B64">
            <w:pPr>
              <w:jc w:val="right"/>
              <w:rPr>
                <w:rFonts w:ascii="Verdana" w:hAnsi="Verdana" w:cs="Arial"/>
                <w:sz w:val="22"/>
                <w:szCs w:val="22"/>
              </w:rPr>
            </w:pPr>
            <w:r w:rsidRPr="00BA4A1E">
              <w:rPr>
                <w:rFonts w:ascii="Verdana" w:hAnsi="Verdana" w:cs="Arial"/>
                <w:sz w:val="22"/>
                <w:szCs w:val="22"/>
              </w:rPr>
              <w:t>8</w:t>
            </w:r>
            <w:r w:rsidR="00134B64" w:rsidRPr="00BA4A1E">
              <w:rPr>
                <w:rFonts w:ascii="Verdana" w:hAnsi="Verdana" w:cs="Arial"/>
                <w:sz w:val="22"/>
                <w:szCs w:val="22"/>
              </w:rPr>
              <w:t>.000,00</w:t>
            </w:r>
          </w:p>
        </w:tc>
        <w:tc>
          <w:tcPr>
            <w:tcW w:w="233" w:type="dxa"/>
            <w:tcBorders>
              <w:top w:val="nil"/>
              <w:left w:val="single" w:sz="4" w:space="0" w:color="auto"/>
              <w:bottom w:val="nil"/>
              <w:right w:val="single" w:sz="4" w:space="0" w:color="auto"/>
            </w:tcBorders>
            <w:noWrap/>
            <w:vAlign w:val="bottom"/>
          </w:tcPr>
          <w:p w14:paraId="1CF7C64D" w14:textId="77777777" w:rsidR="00134B64" w:rsidRPr="00BA4A1E" w:rsidRDefault="00134B64" w:rsidP="00134B64">
            <w:pPr>
              <w:rPr>
                <w:rFonts w:ascii="Verdana" w:hAnsi="Verdana" w:cs="Arial"/>
                <w:sz w:val="22"/>
                <w:szCs w:val="22"/>
              </w:rPr>
            </w:pPr>
          </w:p>
        </w:tc>
        <w:tc>
          <w:tcPr>
            <w:tcW w:w="3366" w:type="dxa"/>
            <w:tcBorders>
              <w:top w:val="nil"/>
              <w:left w:val="nil"/>
              <w:bottom w:val="single" w:sz="4" w:space="0" w:color="auto"/>
              <w:right w:val="nil"/>
            </w:tcBorders>
            <w:noWrap/>
            <w:vAlign w:val="bottom"/>
          </w:tcPr>
          <w:p w14:paraId="687F491E" w14:textId="77777777" w:rsidR="00134B64" w:rsidRPr="00BA4A1E" w:rsidRDefault="00134B64" w:rsidP="00134B64">
            <w:pPr>
              <w:rPr>
                <w:rFonts w:ascii="Verdana" w:hAnsi="Verdana" w:cs="Arial"/>
                <w:sz w:val="22"/>
                <w:szCs w:val="22"/>
              </w:rPr>
            </w:pPr>
            <w:r w:rsidRPr="00BA4A1E">
              <w:rPr>
                <w:rFonts w:ascii="Verdana" w:hAnsi="Verdana" w:cs="Arial"/>
                <w:sz w:val="22"/>
                <w:szCs w:val="22"/>
              </w:rPr>
              <w:t>F.do cause legali in corso</w:t>
            </w:r>
          </w:p>
        </w:tc>
        <w:tc>
          <w:tcPr>
            <w:tcW w:w="1748" w:type="dxa"/>
            <w:tcBorders>
              <w:top w:val="nil"/>
              <w:left w:val="nil"/>
              <w:bottom w:val="single" w:sz="4" w:space="0" w:color="auto"/>
              <w:right w:val="single" w:sz="4" w:space="0" w:color="auto"/>
            </w:tcBorders>
            <w:noWrap/>
            <w:vAlign w:val="bottom"/>
          </w:tcPr>
          <w:p w14:paraId="7624F93C" w14:textId="77777777" w:rsidR="00134B64" w:rsidRPr="00BA4A1E" w:rsidRDefault="00134B64" w:rsidP="00134B64">
            <w:pPr>
              <w:jc w:val="right"/>
              <w:rPr>
                <w:rFonts w:ascii="Verdana" w:hAnsi="Verdana" w:cs="Arial"/>
                <w:sz w:val="22"/>
                <w:szCs w:val="22"/>
              </w:rPr>
            </w:pPr>
            <w:r w:rsidRPr="00BA4A1E">
              <w:rPr>
                <w:rFonts w:ascii="Verdana" w:hAnsi="Verdana" w:cs="Arial"/>
                <w:sz w:val="22"/>
                <w:szCs w:val="22"/>
              </w:rPr>
              <w:t>10.000,00</w:t>
            </w:r>
          </w:p>
        </w:tc>
      </w:tr>
      <w:tr w:rsidR="00134B64" w:rsidRPr="00BA4A1E" w14:paraId="72C2DA98" w14:textId="77777777" w:rsidTr="00134B64">
        <w:trPr>
          <w:trHeight w:val="266"/>
          <w:jc w:val="center"/>
        </w:trPr>
        <w:tc>
          <w:tcPr>
            <w:tcW w:w="2540" w:type="dxa"/>
            <w:tcBorders>
              <w:top w:val="nil"/>
              <w:left w:val="single" w:sz="4" w:space="0" w:color="auto"/>
              <w:bottom w:val="single" w:sz="4" w:space="0" w:color="auto"/>
              <w:right w:val="nil"/>
            </w:tcBorders>
            <w:noWrap/>
            <w:vAlign w:val="bottom"/>
          </w:tcPr>
          <w:p w14:paraId="086FFD38" w14:textId="77777777" w:rsidR="00134B64" w:rsidRPr="00BA4A1E" w:rsidRDefault="00134B64" w:rsidP="00134B64">
            <w:pPr>
              <w:rPr>
                <w:rFonts w:ascii="Verdana" w:hAnsi="Verdana" w:cs="Arial"/>
                <w:sz w:val="22"/>
                <w:szCs w:val="22"/>
              </w:rPr>
            </w:pPr>
            <w:r w:rsidRPr="00BA4A1E">
              <w:rPr>
                <w:rFonts w:ascii="Verdana" w:hAnsi="Verdana" w:cs="Arial"/>
                <w:sz w:val="22"/>
                <w:szCs w:val="22"/>
              </w:rPr>
              <w:t>Crediti v/clienti</w:t>
            </w:r>
          </w:p>
        </w:tc>
        <w:tc>
          <w:tcPr>
            <w:tcW w:w="1848" w:type="dxa"/>
            <w:tcBorders>
              <w:top w:val="nil"/>
              <w:left w:val="nil"/>
              <w:bottom w:val="single" w:sz="4" w:space="0" w:color="auto"/>
              <w:right w:val="nil"/>
            </w:tcBorders>
            <w:noWrap/>
            <w:vAlign w:val="bottom"/>
          </w:tcPr>
          <w:p w14:paraId="4B521294" w14:textId="77777777" w:rsidR="00134B64" w:rsidRPr="00BA4A1E" w:rsidRDefault="00134B64" w:rsidP="00134B64">
            <w:pPr>
              <w:jc w:val="right"/>
              <w:rPr>
                <w:rFonts w:ascii="Verdana" w:hAnsi="Verdana" w:cs="Arial"/>
                <w:sz w:val="22"/>
                <w:szCs w:val="22"/>
              </w:rPr>
            </w:pPr>
            <w:r w:rsidRPr="00BA4A1E">
              <w:rPr>
                <w:rFonts w:ascii="Verdana" w:hAnsi="Verdana" w:cs="Arial"/>
                <w:sz w:val="22"/>
                <w:szCs w:val="22"/>
              </w:rPr>
              <w:t>30.000,00</w:t>
            </w:r>
          </w:p>
        </w:tc>
        <w:tc>
          <w:tcPr>
            <w:tcW w:w="233" w:type="dxa"/>
            <w:tcBorders>
              <w:top w:val="nil"/>
              <w:left w:val="single" w:sz="4" w:space="0" w:color="auto"/>
              <w:bottom w:val="nil"/>
              <w:right w:val="single" w:sz="4" w:space="0" w:color="auto"/>
            </w:tcBorders>
            <w:noWrap/>
            <w:vAlign w:val="bottom"/>
          </w:tcPr>
          <w:p w14:paraId="269F8B50" w14:textId="77777777" w:rsidR="00134B64" w:rsidRPr="00BA4A1E" w:rsidRDefault="00134B64" w:rsidP="00134B64">
            <w:pPr>
              <w:rPr>
                <w:rFonts w:ascii="Verdana" w:hAnsi="Verdana" w:cs="Arial"/>
                <w:sz w:val="22"/>
                <w:szCs w:val="22"/>
              </w:rPr>
            </w:pPr>
          </w:p>
        </w:tc>
        <w:tc>
          <w:tcPr>
            <w:tcW w:w="3366" w:type="dxa"/>
            <w:tcBorders>
              <w:top w:val="nil"/>
              <w:left w:val="nil"/>
              <w:bottom w:val="single" w:sz="4" w:space="0" w:color="auto"/>
              <w:right w:val="nil"/>
            </w:tcBorders>
            <w:noWrap/>
            <w:vAlign w:val="bottom"/>
          </w:tcPr>
          <w:p w14:paraId="51B043D8" w14:textId="77777777" w:rsidR="00134B64" w:rsidRPr="00BA4A1E" w:rsidRDefault="00134B64" w:rsidP="00134B64">
            <w:pPr>
              <w:rPr>
                <w:rFonts w:ascii="Verdana" w:hAnsi="Verdana" w:cs="Arial"/>
                <w:sz w:val="22"/>
                <w:szCs w:val="22"/>
              </w:rPr>
            </w:pPr>
            <w:r w:rsidRPr="00BA4A1E">
              <w:rPr>
                <w:rFonts w:ascii="Verdana" w:hAnsi="Verdana" w:cs="Arial"/>
                <w:sz w:val="22"/>
                <w:szCs w:val="22"/>
              </w:rPr>
              <w:t>F.do TFR</w:t>
            </w:r>
          </w:p>
        </w:tc>
        <w:tc>
          <w:tcPr>
            <w:tcW w:w="1748" w:type="dxa"/>
            <w:tcBorders>
              <w:top w:val="nil"/>
              <w:left w:val="nil"/>
              <w:bottom w:val="single" w:sz="4" w:space="0" w:color="auto"/>
              <w:right w:val="single" w:sz="4" w:space="0" w:color="auto"/>
            </w:tcBorders>
            <w:noWrap/>
            <w:vAlign w:val="bottom"/>
          </w:tcPr>
          <w:p w14:paraId="72278FC1" w14:textId="77777777" w:rsidR="00134B64" w:rsidRPr="00BA4A1E" w:rsidRDefault="00134B64" w:rsidP="00134B64">
            <w:pPr>
              <w:jc w:val="right"/>
              <w:rPr>
                <w:rFonts w:ascii="Verdana" w:hAnsi="Verdana" w:cs="Arial"/>
                <w:sz w:val="22"/>
                <w:szCs w:val="22"/>
              </w:rPr>
            </w:pPr>
            <w:r w:rsidRPr="00BA4A1E">
              <w:rPr>
                <w:rFonts w:ascii="Verdana" w:hAnsi="Verdana" w:cs="Arial"/>
                <w:sz w:val="22"/>
                <w:szCs w:val="22"/>
              </w:rPr>
              <w:t>20.000,00</w:t>
            </w:r>
          </w:p>
        </w:tc>
      </w:tr>
      <w:tr w:rsidR="00134B64" w:rsidRPr="00BA4A1E" w14:paraId="03E734CC" w14:textId="77777777" w:rsidTr="00134B64">
        <w:trPr>
          <w:trHeight w:val="266"/>
          <w:jc w:val="center"/>
        </w:trPr>
        <w:tc>
          <w:tcPr>
            <w:tcW w:w="2540" w:type="dxa"/>
            <w:tcBorders>
              <w:top w:val="nil"/>
              <w:left w:val="single" w:sz="4" w:space="0" w:color="auto"/>
              <w:bottom w:val="single" w:sz="4" w:space="0" w:color="auto"/>
              <w:right w:val="nil"/>
            </w:tcBorders>
            <w:noWrap/>
            <w:vAlign w:val="bottom"/>
          </w:tcPr>
          <w:p w14:paraId="3848E03F" w14:textId="77777777" w:rsidR="00134B64" w:rsidRPr="00BA4A1E" w:rsidRDefault="00134B64" w:rsidP="00134B64">
            <w:pPr>
              <w:rPr>
                <w:rFonts w:ascii="Verdana" w:hAnsi="Verdana" w:cs="Arial"/>
                <w:sz w:val="22"/>
                <w:szCs w:val="22"/>
              </w:rPr>
            </w:pPr>
            <w:r w:rsidRPr="00BA4A1E">
              <w:rPr>
                <w:rFonts w:ascii="Verdana" w:hAnsi="Verdana" w:cs="Arial"/>
                <w:sz w:val="22"/>
                <w:szCs w:val="22"/>
              </w:rPr>
              <w:t>Banca c/c</w:t>
            </w:r>
          </w:p>
        </w:tc>
        <w:tc>
          <w:tcPr>
            <w:tcW w:w="1848" w:type="dxa"/>
            <w:tcBorders>
              <w:top w:val="nil"/>
              <w:left w:val="nil"/>
              <w:bottom w:val="single" w:sz="4" w:space="0" w:color="auto"/>
              <w:right w:val="nil"/>
            </w:tcBorders>
            <w:noWrap/>
            <w:vAlign w:val="bottom"/>
          </w:tcPr>
          <w:p w14:paraId="5ECFA16F" w14:textId="77777777" w:rsidR="00134B64" w:rsidRPr="00BA4A1E" w:rsidRDefault="00134B64" w:rsidP="00134B64">
            <w:pPr>
              <w:jc w:val="right"/>
              <w:rPr>
                <w:rFonts w:ascii="Verdana" w:hAnsi="Verdana" w:cs="Arial"/>
                <w:sz w:val="22"/>
                <w:szCs w:val="22"/>
              </w:rPr>
            </w:pPr>
            <w:r w:rsidRPr="00BA4A1E">
              <w:rPr>
                <w:rFonts w:ascii="Verdana" w:hAnsi="Verdana" w:cs="Arial"/>
                <w:sz w:val="22"/>
                <w:szCs w:val="22"/>
              </w:rPr>
              <w:t>25.000,00</w:t>
            </w:r>
          </w:p>
        </w:tc>
        <w:tc>
          <w:tcPr>
            <w:tcW w:w="233" w:type="dxa"/>
            <w:tcBorders>
              <w:top w:val="nil"/>
              <w:left w:val="single" w:sz="4" w:space="0" w:color="auto"/>
              <w:bottom w:val="nil"/>
              <w:right w:val="single" w:sz="4" w:space="0" w:color="auto"/>
            </w:tcBorders>
            <w:noWrap/>
            <w:vAlign w:val="bottom"/>
          </w:tcPr>
          <w:p w14:paraId="5E710347" w14:textId="77777777" w:rsidR="00134B64" w:rsidRPr="00BA4A1E" w:rsidRDefault="00134B64" w:rsidP="00134B64">
            <w:pPr>
              <w:rPr>
                <w:rFonts w:ascii="Verdana" w:hAnsi="Verdana" w:cs="Arial"/>
                <w:sz w:val="22"/>
                <w:szCs w:val="22"/>
              </w:rPr>
            </w:pPr>
          </w:p>
        </w:tc>
        <w:tc>
          <w:tcPr>
            <w:tcW w:w="3366" w:type="dxa"/>
            <w:tcBorders>
              <w:top w:val="nil"/>
              <w:left w:val="nil"/>
              <w:bottom w:val="single" w:sz="4" w:space="0" w:color="auto"/>
              <w:right w:val="nil"/>
            </w:tcBorders>
            <w:noWrap/>
            <w:vAlign w:val="bottom"/>
          </w:tcPr>
          <w:p w14:paraId="3097A079" w14:textId="77777777" w:rsidR="00134B64" w:rsidRPr="00BA4A1E" w:rsidRDefault="00134B64" w:rsidP="00134B64">
            <w:pPr>
              <w:rPr>
                <w:rFonts w:ascii="Verdana" w:hAnsi="Verdana" w:cs="Arial"/>
                <w:sz w:val="22"/>
                <w:szCs w:val="22"/>
              </w:rPr>
            </w:pPr>
            <w:r w:rsidRPr="00BA4A1E">
              <w:rPr>
                <w:rFonts w:ascii="Verdana" w:hAnsi="Verdana" w:cs="Arial"/>
                <w:sz w:val="22"/>
                <w:szCs w:val="22"/>
              </w:rPr>
              <w:t>Fondo amm.to macchinari</w:t>
            </w:r>
          </w:p>
        </w:tc>
        <w:tc>
          <w:tcPr>
            <w:tcW w:w="1748" w:type="dxa"/>
            <w:tcBorders>
              <w:top w:val="nil"/>
              <w:left w:val="nil"/>
              <w:bottom w:val="single" w:sz="4" w:space="0" w:color="auto"/>
              <w:right w:val="single" w:sz="4" w:space="0" w:color="auto"/>
            </w:tcBorders>
            <w:noWrap/>
            <w:vAlign w:val="bottom"/>
          </w:tcPr>
          <w:p w14:paraId="43F40817" w14:textId="690DCEB0" w:rsidR="00134B64" w:rsidRPr="00BA4A1E" w:rsidRDefault="00157FEF" w:rsidP="00134B64">
            <w:pPr>
              <w:jc w:val="right"/>
              <w:rPr>
                <w:rFonts w:ascii="Verdana" w:hAnsi="Verdana" w:cs="Arial"/>
                <w:sz w:val="22"/>
                <w:szCs w:val="22"/>
              </w:rPr>
            </w:pPr>
            <w:r w:rsidRPr="00BA4A1E">
              <w:rPr>
                <w:rFonts w:ascii="Verdana" w:hAnsi="Verdana" w:cs="Arial"/>
                <w:sz w:val="22"/>
                <w:szCs w:val="22"/>
              </w:rPr>
              <w:t>21</w:t>
            </w:r>
            <w:r w:rsidR="00134B64" w:rsidRPr="00BA4A1E">
              <w:rPr>
                <w:rFonts w:ascii="Verdana" w:hAnsi="Verdana" w:cs="Arial"/>
                <w:sz w:val="22"/>
                <w:szCs w:val="22"/>
              </w:rPr>
              <w:t>.000,00</w:t>
            </w:r>
          </w:p>
        </w:tc>
      </w:tr>
      <w:tr w:rsidR="00134B64" w:rsidRPr="00BA4A1E" w14:paraId="366FD95E" w14:textId="77777777" w:rsidTr="00134B64">
        <w:trPr>
          <w:trHeight w:val="266"/>
          <w:jc w:val="center"/>
        </w:trPr>
        <w:tc>
          <w:tcPr>
            <w:tcW w:w="2540" w:type="dxa"/>
            <w:tcBorders>
              <w:top w:val="nil"/>
              <w:left w:val="single" w:sz="4" w:space="0" w:color="auto"/>
              <w:bottom w:val="single" w:sz="4" w:space="0" w:color="auto"/>
              <w:right w:val="nil"/>
            </w:tcBorders>
            <w:noWrap/>
            <w:vAlign w:val="bottom"/>
          </w:tcPr>
          <w:p w14:paraId="57E132CD" w14:textId="77777777" w:rsidR="00134B64" w:rsidRPr="00BA4A1E" w:rsidRDefault="00134B64" w:rsidP="00134B64">
            <w:pPr>
              <w:rPr>
                <w:rFonts w:ascii="Verdana" w:hAnsi="Verdana" w:cs="Arial"/>
                <w:sz w:val="22"/>
                <w:szCs w:val="22"/>
              </w:rPr>
            </w:pPr>
            <w:r w:rsidRPr="00BA4A1E">
              <w:rPr>
                <w:rFonts w:ascii="Verdana" w:hAnsi="Verdana" w:cs="Arial"/>
                <w:sz w:val="22"/>
                <w:szCs w:val="22"/>
              </w:rPr>
              <w:t>Totale</w:t>
            </w:r>
          </w:p>
        </w:tc>
        <w:tc>
          <w:tcPr>
            <w:tcW w:w="1848" w:type="dxa"/>
            <w:tcBorders>
              <w:top w:val="nil"/>
              <w:left w:val="nil"/>
              <w:bottom w:val="single" w:sz="4" w:space="0" w:color="auto"/>
              <w:right w:val="nil"/>
            </w:tcBorders>
            <w:noWrap/>
            <w:vAlign w:val="bottom"/>
          </w:tcPr>
          <w:p w14:paraId="7566C141" w14:textId="63EBABDB" w:rsidR="00134B64" w:rsidRPr="00BA4A1E" w:rsidRDefault="00134B64" w:rsidP="00157FEF">
            <w:pPr>
              <w:jc w:val="right"/>
              <w:rPr>
                <w:rFonts w:ascii="Verdana" w:hAnsi="Verdana" w:cs="Arial"/>
                <w:sz w:val="22"/>
                <w:szCs w:val="22"/>
              </w:rPr>
            </w:pPr>
            <w:r w:rsidRPr="00BA4A1E">
              <w:rPr>
                <w:rFonts w:ascii="Verdana" w:hAnsi="Verdana" w:cs="Arial"/>
                <w:sz w:val="22"/>
                <w:szCs w:val="22"/>
              </w:rPr>
              <w:t>19</w:t>
            </w:r>
            <w:r w:rsidR="00157FEF" w:rsidRPr="00BA4A1E">
              <w:rPr>
                <w:rFonts w:ascii="Verdana" w:hAnsi="Verdana" w:cs="Arial"/>
                <w:sz w:val="22"/>
                <w:szCs w:val="22"/>
              </w:rPr>
              <w:t>3</w:t>
            </w:r>
            <w:r w:rsidRPr="00BA4A1E">
              <w:rPr>
                <w:rFonts w:ascii="Verdana" w:hAnsi="Verdana" w:cs="Arial"/>
                <w:sz w:val="22"/>
                <w:szCs w:val="22"/>
              </w:rPr>
              <w:t>.000,00</w:t>
            </w:r>
          </w:p>
        </w:tc>
        <w:tc>
          <w:tcPr>
            <w:tcW w:w="233" w:type="dxa"/>
            <w:tcBorders>
              <w:top w:val="nil"/>
              <w:left w:val="single" w:sz="4" w:space="0" w:color="auto"/>
              <w:bottom w:val="single" w:sz="4" w:space="0" w:color="auto"/>
              <w:right w:val="single" w:sz="4" w:space="0" w:color="auto"/>
            </w:tcBorders>
            <w:noWrap/>
            <w:vAlign w:val="bottom"/>
          </w:tcPr>
          <w:p w14:paraId="0210D234" w14:textId="77777777" w:rsidR="00134B64" w:rsidRPr="00BA4A1E" w:rsidRDefault="00134B64" w:rsidP="00134B64">
            <w:pPr>
              <w:rPr>
                <w:rFonts w:ascii="Verdana" w:hAnsi="Verdana" w:cs="Arial"/>
                <w:sz w:val="22"/>
                <w:szCs w:val="22"/>
              </w:rPr>
            </w:pPr>
            <w:r w:rsidRPr="00BA4A1E">
              <w:rPr>
                <w:rFonts w:ascii="Verdana" w:hAnsi="Verdana" w:cs="Arial"/>
                <w:sz w:val="22"/>
                <w:szCs w:val="22"/>
              </w:rPr>
              <w:t> </w:t>
            </w:r>
          </w:p>
        </w:tc>
        <w:tc>
          <w:tcPr>
            <w:tcW w:w="3366" w:type="dxa"/>
            <w:tcBorders>
              <w:top w:val="nil"/>
              <w:left w:val="nil"/>
              <w:bottom w:val="single" w:sz="4" w:space="0" w:color="auto"/>
              <w:right w:val="nil"/>
            </w:tcBorders>
            <w:noWrap/>
            <w:vAlign w:val="bottom"/>
          </w:tcPr>
          <w:p w14:paraId="5A5CC478" w14:textId="77777777" w:rsidR="00134B64" w:rsidRPr="00BA4A1E" w:rsidRDefault="00134B64" w:rsidP="00134B64">
            <w:pPr>
              <w:rPr>
                <w:rFonts w:ascii="Verdana" w:hAnsi="Verdana" w:cs="Arial"/>
                <w:sz w:val="22"/>
                <w:szCs w:val="22"/>
              </w:rPr>
            </w:pPr>
            <w:r w:rsidRPr="00BA4A1E">
              <w:rPr>
                <w:rFonts w:ascii="Verdana" w:hAnsi="Verdana" w:cs="Arial"/>
                <w:sz w:val="22"/>
                <w:szCs w:val="22"/>
              </w:rPr>
              <w:t>Totale</w:t>
            </w:r>
          </w:p>
        </w:tc>
        <w:tc>
          <w:tcPr>
            <w:tcW w:w="1748" w:type="dxa"/>
            <w:tcBorders>
              <w:top w:val="nil"/>
              <w:left w:val="nil"/>
              <w:bottom w:val="single" w:sz="4" w:space="0" w:color="auto"/>
              <w:right w:val="single" w:sz="4" w:space="0" w:color="auto"/>
            </w:tcBorders>
            <w:noWrap/>
            <w:vAlign w:val="bottom"/>
          </w:tcPr>
          <w:p w14:paraId="33EA168C" w14:textId="4DA1A012" w:rsidR="00134B64" w:rsidRPr="00BA4A1E" w:rsidRDefault="00134B64" w:rsidP="00157FEF">
            <w:pPr>
              <w:jc w:val="right"/>
              <w:rPr>
                <w:rFonts w:ascii="Verdana" w:hAnsi="Verdana" w:cs="Arial"/>
                <w:sz w:val="22"/>
                <w:szCs w:val="22"/>
              </w:rPr>
            </w:pPr>
            <w:r w:rsidRPr="00BA4A1E">
              <w:rPr>
                <w:rFonts w:ascii="Verdana" w:hAnsi="Verdana" w:cs="Arial"/>
                <w:sz w:val="22"/>
                <w:szCs w:val="22"/>
              </w:rPr>
              <w:t>19</w:t>
            </w:r>
            <w:r w:rsidR="00157FEF" w:rsidRPr="00BA4A1E">
              <w:rPr>
                <w:rFonts w:ascii="Verdana" w:hAnsi="Verdana" w:cs="Arial"/>
                <w:sz w:val="22"/>
                <w:szCs w:val="22"/>
              </w:rPr>
              <w:t>3</w:t>
            </w:r>
            <w:r w:rsidRPr="00BA4A1E">
              <w:rPr>
                <w:rFonts w:ascii="Verdana" w:hAnsi="Verdana" w:cs="Arial"/>
                <w:sz w:val="22"/>
                <w:szCs w:val="22"/>
              </w:rPr>
              <w:t>.000,00</w:t>
            </w:r>
          </w:p>
        </w:tc>
      </w:tr>
    </w:tbl>
    <w:p w14:paraId="7BF2C330" w14:textId="3F43AD1C" w:rsidR="00134B64" w:rsidRPr="00BA4A1E" w:rsidRDefault="00134B64" w:rsidP="00C000E6">
      <w:pPr>
        <w:numPr>
          <w:ilvl w:val="0"/>
          <w:numId w:val="28"/>
        </w:numPr>
        <w:spacing w:line="240" w:lineRule="atLeast"/>
        <w:ind w:left="357" w:hanging="357"/>
        <w:jc w:val="both"/>
        <w:rPr>
          <w:rFonts w:ascii="Verdana" w:eastAsia="SimSun" w:hAnsi="Verdana" w:cs="Tahoma"/>
          <w:bCs/>
          <w:kern w:val="3"/>
          <w:sz w:val="22"/>
          <w:szCs w:val="22"/>
          <w:lang w:eastAsia="zh-CN" w:bidi="hi-IN"/>
        </w:rPr>
      </w:pPr>
      <w:r w:rsidRPr="00BA4A1E">
        <w:rPr>
          <w:rFonts w:ascii="Verdana" w:eastAsia="SimSun" w:hAnsi="Verdana" w:cs="Tahoma"/>
          <w:bCs/>
          <w:kern w:val="3"/>
          <w:sz w:val="22"/>
          <w:szCs w:val="22"/>
          <w:lang w:eastAsia="zh-CN" w:bidi="hi-IN"/>
        </w:rPr>
        <w:t>In data 02/01 sono vendute prodotti finiti ad un cliente italiano per € 15.000,00 (+ IVA 22%). Il 10/01 il cliente accerta difetti nelle merci e pertanto si provvede ad emettere una nota di credito per € 2.000,00 + IVA 22%. Il regolamento dell’operazione avviene mediante banca in data 20/01. In data 1/02 sono acquistate merci per Euro 7.000 da un fornitore francese</w:t>
      </w:r>
      <w:r w:rsidR="00C000E6" w:rsidRPr="00BA4A1E">
        <w:rPr>
          <w:rFonts w:ascii="Verdana" w:eastAsia="SimSun" w:hAnsi="Verdana" w:cs="Tahoma"/>
          <w:bCs/>
          <w:kern w:val="3"/>
          <w:sz w:val="22"/>
          <w:szCs w:val="22"/>
          <w:lang w:eastAsia="zh-CN" w:bidi="hi-IN"/>
        </w:rPr>
        <w:t xml:space="preserve"> (e dunque senza Iva)</w:t>
      </w:r>
      <w:r w:rsidRPr="00BA4A1E">
        <w:rPr>
          <w:rFonts w:ascii="Verdana" w:eastAsia="SimSun" w:hAnsi="Verdana" w:cs="Tahoma"/>
          <w:bCs/>
          <w:kern w:val="3"/>
          <w:sz w:val="22"/>
          <w:szCs w:val="22"/>
          <w:lang w:eastAsia="zh-CN" w:bidi="hi-IN"/>
        </w:rPr>
        <w:t>; il regolamento avviene mediante banca in data 10/02.</w:t>
      </w:r>
    </w:p>
    <w:p w14:paraId="2B36F2B0" w14:textId="77777777" w:rsidR="00134B64" w:rsidRPr="00BA4A1E" w:rsidRDefault="00134B64" w:rsidP="00C000E6">
      <w:pPr>
        <w:numPr>
          <w:ilvl w:val="0"/>
          <w:numId w:val="28"/>
        </w:numPr>
        <w:spacing w:line="240" w:lineRule="atLeast"/>
        <w:ind w:left="357" w:hanging="357"/>
        <w:jc w:val="both"/>
        <w:rPr>
          <w:rFonts w:ascii="Verdana" w:eastAsia="SimSun" w:hAnsi="Verdana" w:cs="Tahoma"/>
          <w:bCs/>
          <w:kern w:val="3"/>
          <w:sz w:val="22"/>
          <w:szCs w:val="22"/>
          <w:lang w:eastAsia="zh-CN" w:bidi="hi-IN"/>
        </w:rPr>
      </w:pPr>
      <w:r w:rsidRPr="00BA4A1E">
        <w:rPr>
          <w:rFonts w:ascii="Verdana" w:eastAsia="SimSun" w:hAnsi="Verdana" w:cs="Tahoma"/>
          <w:bCs/>
          <w:kern w:val="3"/>
          <w:sz w:val="22"/>
          <w:szCs w:val="22"/>
          <w:lang w:eastAsia="zh-CN" w:bidi="hi-IN"/>
        </w:rPr>
        <w:t>In data 10/04 l’amministratore si accorda con una società di factoring per il recupero dei crediti risultanti in contabilità. Pertanto, viene stipulato un contratto che prevede la formula «standard factoring con rivalsa». La società di factoring anticipa il 90% dell’importo e richiede € 300,00 a titolo di commissioni e € 500,00 a titolo di interessi. In data 30/04 l’operazione va a buon termine;</w:t>
      </w:r>
    </w:p>
    <w:p w14:paraId="7609134A" w14:textId="77777777" w:rsidR="00134B64" w:rsidRPr="00BA4A1E" w:rsidRDefault="00134B64" w:rsidP="00C000E6">
      <w:pPr>
        <w:numPr>
          <w:ilvl w:val="0"/>
          <w:numId w:val="28"/>
        </w:numPr>
        <w:spacing w:line="240" w:lineRule="atLeast"/>
        <w:ind w:left="357" w:hanging="357"/>
        <w:jc w:val="both"/>
        <w:rPr>
          <w:rFonts w:ascii="Verdana" w:eastAsia="SimSun" w:hAnsi="Verdana" w:cs="Tahoma"/>
          <w:bCs/>
          <w:kern w:val="3"/>
          <w:sz w:val="22"/>
          <w:szCs w:val="22"/>
          <w:lang w:eastAsia="zh-CN" w:bidi="hi-IN"/>
        </w:rPr>
      </w:pPr>
      <w:r w:rsidRPr="00BA4A1E">
        <w:rPr>
          <w:rFonts w:ascii="Verdana" w:eastAsia="SimSun" w:hAnsi="Verdana" w:cs="Tahoma"/>
          <w:bCs/>
          <w:kern w:val="3"/>
          <w:sz w:val="22"/>
          <w:szCs w:val="22"/>
          <w:lang w:eastAsia="zh-CN" w:bidi="hi-IN"/>
        </w:rPr>
        <w:t xml:space="preserve">In data 31/05 è deliberato un aumento a pagamento di capitale sociale sopra la pari, mediante l’emissione di nuove azioni dal valore di € 60.000,00 ad un prezzo di 65.000,00. Tale aumento è sottoscritto da un nuovo azionista con un conferimento in denaro, mediante bonifico bancario; </w:t>
      </w:r>
    </w:p>
    <w:p w14:paraId="5535F76A" w14:textId="14B17968" w:rsidR="00134B64" w:rsidRPr="00BA4A1E" w:rsidRDefault="00134B64" w:rsidP="00C000E6">
      <w:pPr>
        <w:numPr>
          <w:ilvl w:val="0"/>
          <w:numId w:val="28"/>
        </w:numPr>
        <w:spacing w:line="240" w:lineRule="atLeast"/>
        <w:ind w:left="357" w:hanging="357"/>
        <w:jc w:val="both"/>
        <w:rPr>
          <w:rFonts w:ascii="Verdana" w:eastAsia="SimSun" w:hAnsi="Verdana" w:cs="Tahoma"/>
          <w:bCs/>
          <w:kern w:val="3"/>
          <w:sz w:val="22"/>
          <w:szCs w:val="22"/>
          <w:lang w:eastAsia="zh-CN" w:bidi="hi-IN"/>
        </w:rPr>
      </w:pPr>
      <w:r w:rsidRPr="00BA4A1E">
        <w:rPr>
          <w:rFonts w:ascii="Verdana" w:eastAsia="SimSun" w:hAnsi="Verdana" w:cs="Tahoma"/>
          <w:bCs/>
          <w:kern w:val="3"/>
          <w:sz w:val="22"/>
          <w:szCs w:val="22"/>
          <w:lang w:eastAsia="zh-CN" w:bidi="hi-IN"/>
        </w:rPr>
        <w:t>In data 1/07 è stipulato un contratto di leasing quadriennale relativo ad un macchinario del valore di € 80.000 che prevede, alla stessa data di stipula del contratto, il versamento di un maxi-canone iniziale di € 34.000 (+IVA 22%) pagato subito per banca e canoni quadrimestrali posticipati di € 8.000 (+IVA 22%) da pagare per banca a partire dal 1/11;</w:t>
      </w:r>
    </w:p>
    <w:p w14:paraId="12618F54" w14:textId="77777777" w:rsidR="00134B64" w:rsidRPr="00BA4A1E" w:rsidRDefault="00134B64" w:rsidP="00134B64">
      <w:pPr>
        <w:spacing w:line="360" w:lineRule="auto"/>
        <w:jc w:val="both"/>
        <w:rPr>
          <w:rFonts w:ascii="Verdana" w:hAnsi="Verdana"/>
          <w:i/>
          <w:sz w:val="22"/>
          <w:szCs w:val="22"/>
        </w:rPr>
      </w:pPr>
      <w:r w:rsidRPr="00BA4A1E">
        <w:rPr>
          <w:rFonts w:ascii="Verdana" w:hAnsi="Verdana"/>
          <w:i/>
          <w:sz w:val="22"/>
          <w:szCs w:val="22"/>
        </w:rPr>
        <w:t xml:space="preserve">Per le scritture di assestamento si tenga conto che: </w:t>
      </w:r>
    </w:p>
    <w:p w14:paraId="43C4399F" w14:textId="50A2A77B" w:rsidR="00134B64" w:rsidRPr="00BA4A1E" w:rsidRDefault="00134B64" w:rsidP="00134B64">
      <w:pPr>
        <w:numPr>
          <w:ilvl w:val="0"/>
          <w:numId w:val="27"/>
        </w:numPr>
        <w:ind w:left="714" w:hanging="357"/>
        <w:jc w:val="both"/>
        <w:rPr>
          <w:rFonts w:ascii="Verdana" w:eastAsia="SimSun" w:hAnsi="Verdana" w:cs="Tahoma"/>
          <w:bCs/>
          <w:kern w:val="3"/>
          <w:sz w:val="22"/>
          <w:szCs w:val="22"/>
          <w:lang w:eastAsia="zh-CN" w:bidi="hi-IN"/>
        </w:rPr>
      </w:pPr>
      <w:r w:rsidRPr="00BA4A1E">
        <w:rPr>
          <w:rFonts w:ascii="Verdana" w:eastAsia="SimSun" w:hAnsi="Verdana" w:cs="Tahoma"/>
          <w:bCs/>
          <w:kern w:val="3"/>
          <w:sz w:val="22"/>
          <w:szCs w:val="22"/>
          <w:lang w:eastAsia="zh-CN" w:bidi="hi-IN"/>
        </w:rPr>
        <w:t>Le immobilizzazioni immateriali sono ammortizzate su un periodo di 5 anni</w:t>
      </w:r>
      <w:r w:rsidR="00157FEF" w:rsidRPr="00BA4A1E">
        <w:rPr>
          <w:rFonts w:ascii="Verdana" w:eastAsia="SimSun" w:hAnsi="Verdana" w:cs="Tahoma"/>
          <w:bCs/>
          <w:kern w:val="3"/>
          <w:sz w:val="22"/>
          <w:szCs w:val="22"/>
          <w:lang w:eastAsia="zh-CN" w:bidi="hi-IN"/>
        </w:rPr>
        <w:t xml:space="preserve"> (costo storico 10 mila euro, siamo al secondo anno di ammortamento)</w:t>
      </w:r>
      <w:r w:rsidRPr="00BA4A1E">
        <w:rPr>
          <w:rFonts w:ascii="Verdana" w:eastAsia="SimSun" w:hAnsi="Verdana" w:cs="Tahoma"/>
          <w:bCs/>
          <w:kern w:val="3"/>
          <w:sz w:val="22"/>
          <w:szCs w:val="22"/>
          <w:lang w:eastAsia="zh-CN" w:bidi="hi-IN"/>
        </w:rPr>
        <w:t>, mentre quelle materiali su un periodo di 10 anni (sempre a quote costanti);</w:t>
      </w:r>
    </w:p>
    <w:p w14:paraId="59E353C4" w14:textId="77777777" w:rsidR="00134B64" w:rsidRPr="00BA4A1E" w:rsidRDefault="00134B64" w:rsidP="00134B64">
      <w:pPr>
        <w:numPr>
          <w:ilvl w:val="0"/>
          <w:numId w:val="27"/>
        </w:numPr>
        <w:ind w:left="714" w:hanging="357"/>
        <w:jc w:val="both"/>
        <w:rPr>
          <w:rFonts w:ascii="Verdana" w:eastAsia="SimSun" w:hAnsi="Verdana" w:cs="Tahoma"/>
          <w:bCs/>
          <w:kern w:val="3"/>
          <w:sz w:val="22"/>
          <w:szCs w:val="22"/>
          <w:lang w:eastAsia="zh-CN" w:bidi="hi-IN"/>
        </w:rPr>
      </w:pPr>
      <w:r w:rsidRPr="00BA4A1E">
        <w:rPr>
          <w:rFonts w:ascii="Verdana" w:eastAsia="SimSun" w:hAnsi="Verdana" w:cs="Tahoma"/>
          <w:bCs/>
          <w:kern w:val="3"/>
          <w:sz w:val="22"/>
          <w:szCs w:val="22"/>
          <w:lang w:eastAsia="zh-CN" w:bidi="hi-IN"/>
        </w:rPr>
        <w:t>Si rilevano eventuali ratei e risconti;</w:t>
      </w:r>
    </w:p>
    <w:p w14:paraId="0111593A" w14:textId="77777777" w:rsidR="00134B64" w:rsidRPr="00BA4A1E" w:rsidRDefault="00134B64" w:rsidP="00134B64">
      <w:pPr>
        <w:numPr>
          <w:ilvl w:val="0"/>
          <w:numId w:val="27"/>
        </w:numPr>
        <w:spacing w:line="360" w:lineRule="auto"/>
        <w:ind w:left="714" w:hanging="357"/>
        <w:jc w:val="both"/>
        <w:rPr>
          <w:rFonts w:ascii="Verdana" w:hAnsi="Verdana"/>
          <w:bCs/>
          <w:sz w:val="22"/>
          <w:szCs w:val="22"/>
        </w:rPr>
      </w:pPr>
      <w:r w:rsidRPr="00BA4A1E">
        <w:rPr>
          <w:rFonts w:ascii="Verdana" w:hAnsi="Verdana"/>
          <w:sz w:val="22"/>
          <w:szCs w:val="22"/>
        </w:rPr>
        <w:t>Si rilevano costruzioni in economia di immobili non ancora ultimati per 40.000€.</w:t>
      </w:r>
    </w:p>
    <w:p w14:paraId="07222B24" w14:textId="1021B994" w:rsidR="00CA6670" w:rsidRPr="00BA4A1E" w:rsidRDefault="00CA6670">
      <w:pPr>
        <w:rPr>
          <w:rFonts w:ascii="Verdana" w:hAnsi="Verdana"/>
          <w:bCs/>
          <w:color w:val="000000" w:themeColor="text1"/>
          <w:sz w:val="22"/>
          <w:szCs w:val="22"/>
        </w:rPr>
      </w:pPr>
      <w:r w:rsidRPr="00BA4A1E">
        <w:rPr>
          <w:rFonts w:ascii="Verdana" w:hAnsi="Verdana"/>
          <w:bCs/>
          <w:color w:val="000000" w:themeColor="text1"/>
          <w:sz w:val="22"/>
          <w:szCs w:val="22"/>
        </w:rPr>
        <w:br w:type="page"/>
      </w:r>
    </w:p>
    <w:p w14:paraId="2A0438B8" w14:textId="614FC456" w:rsidR="00AC0267" w:rsidRPr="00BA4A1E" w:rsidRDefault="00AC0267" w:rsidP="00AC0267">
      <w:pPr>
        <w:ind w:right="-1"/>
        <w:rPr>
          <w:rFonts w:ascii="Verdana" w:hAnsi="Verdana"/>
          <w:bCs/>
          <w:color w:val="000000" w:themeColor="text1"/>
          <w:sz w:val="22"/>
          <w:szCs w:val="22"/>
        </w:rPr>
      </w:pPr>
      <w:r w:rsidRPr="00BA4A1E">
        <w:rPr>
          <w:rFonts w:ascii="Verdana" w:hAnsi="Verdana"/>
          <w:bCs/>
          <w:color w:val="000000" w:themeColor="text1"/>
          <w:sz w:val="22"/>
          <w:szCs w:val="22"/>
        </w:rPr>
        <w:lastRenderedPageBreak/>
        <w:t>ESERCIZIO 2</w:t>
      </w:r>
      <w:r w:rsidR="00CA6670" w:rsidRPr="00BA4A1E">
        <w:rPr>
          <w:rFonts w:ascii="Verdana" w:hAnsi="Verdana"/>
          <w:bCs/>
          <w:color w:val="000000" w:themeColor="text1"/>
          <w:sz w:val="22"/>
          <w:szCs w:val="22"/>
        </w:rPr>
        <w:t xml:space="preserve"> – 3 domande</w:t>
      </w:r>
      <w:r w:rsidRPr="00BA4A1E">
        <w:rPr>
          <w:rFonts w:ascii="Verdana" w:hAnsi="Verdana"/>
          <w:bCs/>
          <w:color w:val="000000" w:themeColor="text1"/>
          <w:sz w:val="22"/>
          <w:szCs w:val="22"/>
        </w:rPr>
        <w:t xml:space="preserve"> (30 punti)</w:t>
      </w:r>
    </w:p>
    <w:p w14:paraId="4D35FFE0" w14:textId="77777777" w:rsidR="00CA6670" w:rsidRPr="00BA4A1E" w:rsidRDefault="00CA6670" w:rsidP="00CA6670">
      <w:pPr>
        <w:spacing w:before="120" w:after="120"/>
        <w:jc w:val="both"/>
        <w:rPr>
          <w:rFonts w:ascii="Verdana" w:hAnsi="Verdana"/>
          <w:color w:val="000000" w:themeColor="text1"/>
          <w:sz w:val="22"/>
          <w:szCs w:val="22"/>
        </w:rPr>
      </w:pPr>
    </w:p>
    <w:p w14:paraId="08B0D2A4" w14:textId="5E67BFCD" w:rsidR="00CA6670" w:rsidRPr="00BA4A1E" w:rsidRDefault="00AC0267" w:rsidP="00CA6670">
      <w:pPr>
        <w:spacing w:before="120" w:after="120"/>
        <w:jc w:val="both"/>
        <w:rPr>
          <w:rFonts w:ascii="Verdana" w:hAnsi="Verdana"/>
          <w:color w:val="000000" w:themeColor="text1"/>
          <w:sz w:val="22"/>
          <w:szCs w:val="22"/>
        </w:rPr>
      </w:pPr>
      <w:r w:rsidRPr="00BA4A1E">
        <w:rPr>
          <w:rFonts w:ascii="Verdana" w:hAnsi="Verdana"/>
          <w:color w:val="000000" w:themeColor="text1"/>
          <w:sz w:val="22"/>
          <w:szCs w:val="22"/>
        </w:rPr>
        <w:t xml:space="preserve">La società ALFA S.p.A., dopo aver operato un ammortamento di euro 24.000 ed a una svalutazione di euro 40.000 dovuta alla stima di una perdita durevole di valore, iscrive nel bilancio chiuso al 31/12/X un brevetto al valore contabile di euro 56.000. Si continua così ad ammortizzare il valore contabile con quote annue di euro 14.000. Al 31/12/X+2, venute meno le ragioni che avevano portato alla svalutazione, la società decide il ripristino del valore. Si proceda alla ripresa di valore del brevetto e alla rappresentazione in bilancio degli effetti dell’operazione al 31/12/X+2. </w:t>
      </w:r>
    </w:p>
    <w:p w14:paraId="307D4C3D" w14:textId="77777777" w:rsidR="00CA6670" w:rsidRPr="00BA4A1E" w:rsidRDefault="00CA6670" w:rsidP="00CA6670">
      <w:pPr>
        <w:pStyle w:val="Paragrafoelenco"/>
        <w:spacing w:before="120" w:after="120" w:line="240" w:lineRule="exact"/>
        <w:ind w:left="284"/>
        <w:jc w:val="both"/>
        <w:rPr>
          <w:rFonts w:ascii="Verdana" w:hAnsi="Verdana"/>
          <w:color w:val="000000" w:themeColor="text1"/>
        </w:rPr>
      </w:pPr>
    </w:p>
    <w:p w14:paraId="74D07868" w14:textId="0BD0CC9B" w:rsidR="00A15C30" w:rsidRPr="00BA4A1E" w:rsidRDefault="00A15C30" w:rsidP="00CA6670">
      <w:pPr>
        <w:spacing w:before="120" w:after="120"/>
        <w:jc w:val="both"/>
        <w:rPr>
          <w:rFonts w:ascii="Verdana" w:hAnsi="Verdana"/>
          <w:color w:val="000000" w:themeColor="text1"/>
          <w:sz w:val="22"/>
          <w:szCs w:val="22"/>
        </w:rPr>
      </w:pPr>
      <w:r w:rsidRPr="00BA4A1E">
        <w:rPr>
          <w:rFonts w:ascii="Verdana" w:hAnsi="Verdana"/>
          <w:color w:val="000000" w:themeColor="text1"/>
          <w:sz w:val="22"/>
          <w:szCs w:val="22"/>
        </w:rPr>
        <w:t>Presentare il rendiconto finanziario della seguente azienda</w:t>
      </w:r>
      <w:r w:rsidR="00CA6670" w:rsidRPr="00BA4A1E">
        <w:rPr>
          <w:rFonts w:ascii="Verdana" w:hAnsi="Verdana"/>
          <w:color w:val="000000" w:themeColor="text1"/>
          <w:sz w:val="22"/>
          <w:szCs w:val="22"/>
        </w:rPr>
        <w:t>,</w:t>
      </w:r>
      <w:r w:rsidRPr="00BA4A1E">
        <w:rPr>
          <w:rFonts w:ascii="Verdana" w:hAnsi="Verdana"/>
          <w:color w:val="000000" w:themeColor="text1"/>
          <w:sz w:val="22"/>
          <w:szCs w:val="22"/>
        </w:rPr>
        <w:t xml:space="preserve"> sapendo che nell’esercizio X i movimenti delle riserve sono stati generati unicamente dalla destinazione dell’utile X-1</w:t>
      </w:r>
    </w:p>
    <w:tbl>
      <w:tblPr>
        <w:tblW w:w="0" w:type="auto"/>
        <w:jc w:val="center"/>
        <w:tblCellMar>
          <w:left w:w="70" w:type="dxa"/>
          <w:right w:w="70" w:type="dxa"/>
        </w:tblCellMar>
        <w:tblLook w:val="04A0" w:firstRow="1" w:lastRow="0" w:firstColumn="1" w:lastColumn="0" w:noHBand="0" w:noVBand="1"/>
      </w:tblPr>
      <w:tblGrid>
        <w:gridCol w:w="186"/>
        <w:gridCol w:w="859"/>
        <w:gridCol w:w="642"/>
        <w:gridCol w:w="1068"/>
        <w:gridCol w:w="642"/>
        <w:gridCol w:w="186"/>
        <w:gridCol w:w="186"/>
        <w:gridCol w:w="859"/>
        <w:gridCol w:w="642"/>
        <w:gridCol w:w="1716"/>
        <w:gridCol w:w="642"/>
      </w:tblGrid>
      <w:tr w:rsidR="00CA6670" w:rsidRPr="00BA4A1E" w14:paraId="02206234" w14:textId="77777777" w:rsidTr="002A45EC">
        <w:trPr>
          <w:jc w:val="center"/>
        </w:trPr>
        <w:tc>
          <w:tcPr>
            <w:tcW w:w="0" w:type="auto"/>
            <w:tcBorders>
              <w:top w:val="single" w:sz="8" w:space="0" w:color="auto"/>
              <w:left w:val="single" w:sz="8" w:space="0" w:color="auto"/>
              <w:bottom w:val="nil"/>
              <w:right w:val="nil"/>
            </w:tcBorders>
            <w:shd w:val="clear" w:color="auto" w:fill="auto"/>
            <w:noWrap/>
            <w:vAlign w:val="bottom"/>
            <w:hideMark/>
          </w:tcPr>
          <w:p w14:paraId="299F2B4D"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gridSpan w:val="4"/>
            <w:tcBorders>
              <w:top w:val="single" w:sz="8" w:space="0" w:color="auto"/>
              <w:left w:val="nil"/>
              <w:bottom w:val="single" w:sz="4" w:space="0" w:color="auto"/>
              <w:right w:val="nil"/>
            </w:tcBorders>
            <w:shd w:val="clear" w:color="auto" w:fill="auto"/>
            <w:noWrap/>
            <w:vAlign w:val="bottom"/>
            <w:hideMark/>
          </w:tcPr>
          <w:p w14:paraId="5A4CF58C" w14:textId="77777777" w:rsidR="002A45EC" w:rsidRPr="00BA4A1E" w:rsidRDefault="002A45EC" w:rsidP="002A45EC">
            <w:pPr>
              <w:jc w:val="center"/>
              <w:rPr>
                <w:rFonts w:ascii="Calibri" w:hAnsi="Calibri"/>
                <w:color w:val="000000" w:themeColor="text1"/>
              </w:rPr>
            </w:pPr>
            <w:r w:rsidRPr="00BA4A1E">
              <w:rPr>
                <w:rFonts w:ascii="Calibri" w:hAnsi="Calibri"/>
                <w:color w:val="000000" w:themeColor="text1"/>
              </w:rPr>
              <w:t>STATO PATRIMONIALE</w:t>
            </w:r>
            <w:r w:rsidRPr="00BA4A1E">
              <w:rPr>
                <w:rFonts w:ascii="Calibri" w:hAnsi="Calibri"/>
                <w:bCs/>
                <w:color w:val="000000" w:themeColor="text1"/>
              </w:rPr>
              <w:t xml:space="preserve"> X-1</w:t>
            </w:r>
          </w:p>
        </w:tc>
        <w:tc>
          <w:tcPr>
            <w:tcW w:w="0" w:type="auto"/>
            <w:tcBorders>
              <w:top w:val="single" w:sz="8" w:space="0" w:color="auto"/>
              <w:left w:val="nil"/>
              <w:bottom w:val="nil"/>
              <w:right w:val="nil"/>
            </w:tcBorders>
            <w:shd w:val="clear" w:color="auto" w:fill="auto"/>
            <w:noWrap/>
            <w:vAlign w:val="bottom"/>
            <w:hideMark/>
          </w:tcPr>
          <w:p w14:paraId="5574EE20"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single" w:sz="8" w:space="0" w:color="auto"/>
              <w:left w:val="single" w:sz="8" w:space="0" w:color="auto"/>
              <w:bottom w:val="nil"/>
              <w:right w:val="nil"/>
            </w:tcBorders>
            <w:shd w:val="clear" w:color="auto" w:fill="auto"/>
            <w:noWrap/>
            <w:vAlign w:val="bottom"/>
            <w:hideMark/>
          </w:tcPr>
          <w:p w14:paraId="01E01B8B"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gridSpan w:val="4"/>
            <w:tcBorders>
              <w:top w:val="single" w:sz="8" w:space="0" w:color="auto"/>
              <w:left w:val="nil"/>
              <w:bottom w:val="nil"/>
              <w:right w:val="single" w:sz="8" w:space="0" w:color="auto"/>
            </w:tcBorders>
            <w:shd w:val="clear" w:color="auto" w:fill="auto"/>
            <w:noWrap/>
            <w:vAlign w:val="bottom"/>
            <w:hideMark/>
          </w:tcPr>
          <w:p w14:paraId="0D8D55C7" w14:textId="77777777" w:rsidR="002A45EC" w:rsidRPr="00BA4A1E" w:rsidRDefault="002A45EC" w:rsidP="002A45EC">
            <w:pPr>
              <w:jc w:val="center"/>
              <w:rPr>
                <w:rFonts w:ascii="Calibri" w:hAnsi="Calibri"/>
                <w:color w:val="000000" w:themeColor="text1"/>
              </w:rPr>
            </w:pPr>
            <w:r w:rsidRPr="00BA4A1E">
              <w:rPr>
                <w:rFonts w:ascii="Calibri" w:hAnsi="Calibri"/>
                <w:color w:val="000000" w:themeColor="text1"/>
              </w:rPr>
              <w:t xml:space="preserve">STATO PATRIMONIALE </w:t>
            </w:r>
            <w:r w:rsidRPr="00BA4A1E">
              <w:rPr>
                <w:rFonts w:ascii="Calibri" w:hAnsi="Calibri"/>
                <w:bCs/>
                <w:color w:val="000000" w:themeColor="text1"/>
              </w:rPr>
              <w:t>X</w:t>
            </w:r>
          </w:p>
        </w:tc>
      </w:tr>
      <w:tr w:rsidR="00CA6670" w:rsidRPr="00BA4A1E" w14:paraId="2733C216"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2F642422"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CAEB85" w14:textId="77777777" w:rsidR="002A45EC" w:rsidRPr="00BA4A1E" w:rsidRDefault="002A45EC" w:rsidP="002A45EC">
            <w:pPr>
              <w:jc w:val="center"/>
              <w:rPr>
                <w:rFonts w:ascii="Calibri" w:hAnsi="Calibri"/>
                <w:color w:val="000000" w:themeColor="text1"/>
              </w:rPr>
            </w:pPr>
            <w:r w:rsidRPr="00BA4A1E">
              <w:rPr>
                <w:rFonts w:ascii="Calibri" w:hAnsi="Calibri"/>
                <w:color w:val="000000" w:themeColor="text1"/>
              </w:rPr>
              <w:t>ATTIVO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6BA1C85" w14:textId="77777777" w:rsidR="002A45EC" w:rsidRPr="00BA4A1E" w:rsidRDefault="002A45EC" w:rsidP="002A45EC">
            <w:pPr>
              <w:jc w:val="center"/>
              <w:rPr>
                <w:rFonts w:ascii="Calibri" w:hAnsi="Calibri"/>
                <w:color w:val="000000" w:themeColor="text1"/>
              </w:rPr>
            </w:pPr>
            <w:r w:rsidRPr="00BA4A1E">
              <w:rPr>
                <w:rFonts w:ascii="Calibri" w:hAnsi="Calibri"/>
                <w:color w:val="000000" w:themeColor="text1"/>
              </w:rPr>
              <w:t>PASSIVO</w:t>
            </w:r>
          </w:p>
        </w:tc>
        <w:tc>
          <w:tcPr>
            <w:tcW w:w="0" w:type="auto"/>
            <w:tcBorders>
              <w:top w:val="nil"/>
              <w:left w:val="nil"/>
              <w:bottom w:val="nil"/>
              <w:right w:val="nil"/>
            </w:tcBorders>
            <w:shd w:val="clear" w:color="auto" w:fill="auto"/>
            <w:noWrap/>
            <w:vAlign w:val="bottom"/>
            <w:hideMark/>
          </w:tcPr>
          <w:p w14:paraId="7CE4CD90"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70AF16CE"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0AC2AB" w14:textId="77777777" w:rsidR="002A45EC" w:rsidRPr="00BA4A1E" w:rsidRDefault="002A45EC" w:rsidP="002A45EC">
            <w:pPr>
              <w:jc w:val="center"/>
              <w:rPr>
                <w:rFonts w:ascii="Calibri" w:hAnsi="Calibri"/>
                <w:color w:val="000000" w:themeColor="text1"/>
              </w:rPr>
            </w:pPr>
            <w:r w:rsidRPr="00BA4A1E">
              <w:rPr>
                <w:rFonts w:ascii="Calibri" w:hAnsi="Calibri"/>
                <w:color w:val="000000" w:themeColor="text1"/>
              </w:rPr>
              <w:t>ATTIVO</w:t>
            </w:r>
          </w:p>
        </w:tc>
        <w:tc>
          <w:tcPr>
            <w:tcW w:w="0" w:type="auto"/>
            <w:gridSpan w:val="2"/>
            <w:tcBorders>
              <w:top w:val="single" w:sz="4" w:space="0" w:color="auto"/>
              <w:left w:val="nil"/>
              <w:bottom w:val="single" w:sz="4" w:space="0" w:color="auto"/>
              <w:right w:val="single" w:sz="8" w:space="0" w:color="auto"/>
            </w:tcBorders>
            <w:shd w:val="clear" w:color="auto" w:fill="auto"/>
            <w:noWrap/>
            <w:vAlign w:val="bottom"/>
            <w:hideMark/>
          </w:tcPr>
          <w:p w14:paraId="1FDAC7E8" w14:textId="77777777" w:rsidR="002A45EC" w:rsidRPr="00BA4A1E" w:rsidRDefault="002A45EC" w:rsidP="002A45EC">
            <w:pPr>
              <w:jc w:val="center"/>
              <w:rPr>
                <w:rFonts w:ascii="Calibri" w:hAnsi="Calibri"/>
                <w:color w:val="000000" w:themeColor="text1"/>
              </w:rPr>
            </w:pPr>
            <w:r w:rsidRPr="00BA4A1E">
              <w:rPr>
                <w:rFonts w:ascii="Calibri" w:hAnsi="Calibri"/>
                <w:color w:val="000000" w:themeColor="text1"/>
              </w:rPr>
              <w:t>PASSIVO</w:t>
            </w:r>
          </w:p>
        </w:tc>
      </w:tr>
      <w:tr w:rsidR="00CA6670" w:rsidRPr="00BA4A1E" w14:paraId="20F6DF56"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07A97F51"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nil"/>
              <w:right w:val="nil"/>
            </w:tcBorders>
            <w:shd w:val="clear" w:color="auto" w:fill="auto"/>
            <w:noWrap/>
            <w:vAlign w:val="bottom"/>
            <w:hideMark/>
          </w:tcPr>
          <w:p w14:paraId="0C85F82E"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immobil.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8EC791"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1.100   </w:t>
            </w:r>
          </w:p>
        </w:tc>
        <w:tc>
          <w:tcPr>
            <w:tcW w:w="0" w:type="auto"/>
            <w:tcBorders>
              <w:top w:val="nil"/>
              <w:left w:val="nil"/>
              <w:bottom w:val="nil"/>
              <w:right w:val="nil"/>
            </w:tcBorders>
            <w:shd w:val="clear" w:color="auto" w:fill="auto"/>
            <w:noWrap/>
            <w:vAlign w:val="bottom"/>
            <w:hideMark/>
          </w:tcPr>
          <w:p w14:paraId="228ACAC3"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debiti a l.t.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16073"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600   </w:t>
            </w:r>
          </w:p>
        </w:tc>
        <w:tc>
          <w:tcPr>
            <w:tcW w:w="0" w:type="auto"/>
            <w:tcBorders>
              <w:top w:val="nil"/>
              <w:left w:val="nil"/>
              <w:bottom w:val="nil"/>
              <w:right w:val="nil"/>
            </w:tcBorders>
            <w:shd w:val="clear" w:color="auto" w:fill="auto"/>
            <w:noWrap/>
            <w:vAlign w:val="bottom"/>
            <w:hideMark/>
          </w:tcPr>
          <w:p w14:paraId="012DEBCE"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59BBF103"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nil"/>
              <w:right w:val="nil"/>
            </w:tcBorders>
            <w:shd w:val="clear" w:color="auto" w:fill="auto"/>
            <w:noWrap/>
            <w:vAlign w:val="bottom"/>
            <w:hideMark/>
          </w:tcPr>
          <w:p w14:paraId="1A19DC41"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immobil.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237896"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800   </w:t>
            </w:r>
          </w:p>
        </w:tc>
        <w:tc>
          <w:tcPr>
            <w:tcW w:w="0" w:type="auto"/>
            <w:tcBorders>
              <w:top w:val="nil"/>
              <w:left w:val="nil"/>
              <w:bottom w:val="nil"/>
              <w:right w:val="nil"/>
            </w:tcBorders>
            <w:shd w:val="clear" w:color="auto" w:fill="auto"/>
            <w:noWrap/>
            <w:vAlign w:val="bottom"/>
            <w:hideMark/>
          </w:tcPr>
          <w:p w14:paraId="04D5FD92"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debiti a l.t.</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6D6CE2"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500   </w:t>
            </w:r>
          </w:p>
        </w:tc>
      </w:tr>
      <w:tr w:rsidR="00CA6670" w:rsidRPr="00BA4A1E" w14:paraId="0A33AC8D"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39E2B9CA"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nil"/>
              <w:right w:val="nil"/>
            </w:tcBorders>
            <w:shd w:val="clear" w:color="auto" w:fill="auto"/>
            <w:noWrap/>
            <w:vAlign w:val="bottom"/>
            <w:hideMark/>
          </w:tcPr>
          <w:p w14:paraId="49FE422A"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scorte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3D1F8C"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150   </w:t>
            </w:r>
          </w:p>
        </w:tc>
        <w:tc>
          <w:tcPr>
            <w:tcW w:w="0" w:type="auto"/>
            <w:tcBorders>
              <w:top w:val="nil"/>
              <w:left w:val="nil"/>
              <w:bottom w:val="nil"/>
              <w:right w:val="nil"/>
            </w:tcBorders>
            <w:shd w:val="clear" w:color="auto" w:fill="auto"/>
            <w:noWrap/>
            <w:vAlign w:val="bottom"/>
            <w:hideMark/>
          </w:tcPr>
          <w:p w14:paraId="55F012FA"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debiti a b.t.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14E7D8"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300   </w:t>
            </w:r>
          </w:p>
        </w:tc>
        <w:tc>
          <w:tcPr>
            <w:tcW w:w="0" w:type="auto"/>
            <w:tcBorders>
              <w:top w:val="nil"/>
              <w:left w:val="nil"/>
              <w:bottom w:val="nil"/>
              <w:right w:val="nil"/>
            </w:tcBorders>
            <w:shd w:val="clear" w:color="auto" w:fill="auto"/>
            <w:noWrap/>
            <w:vAlign w:val="bottom"/>
            <w:hideMark/>
          </w:tcPr>
          <w:p w14:paraId="1B0F404F"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3322CD79"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nil"/>
              <w:right w:val="nil"/>
            </w:tcBorders>
            <w:shd w:val="clear" w:color="auto" w:fill="auto"/>
            <w:noWrap/>
            <w:vAlign w:val="bottom"/>
            <w:hideMark/>
          </w:tcPr>
          <w:p w14:paraId="59316C54"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scorte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15B665"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250   </w:t>
            </w:r>
          </w:p>
        </w:tc>
        <w:tc>
          <w:tcPr>
            <w:tcW w:w="0" w:type="auto"/>
            <w:tcBorders>
              <w:top w:val="nil"/>
              <w:left w:val="nil"/>
              <w:bottom w:val="nil"/>
              <w:right w:val="nil"/>
            </w:tcBorders>
            <w:shd w:val="clear" w:color="auto" w:fill="auto"/>
            <w:noWrap/>
            <w:vAlign w:val="bottom"/>
            <w:hideMark/>
          </w:tcPr>
          <w:p w14:paraId="54031F66"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debiti a b.t.</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6D87CAD"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400   </w:t>
            </w:r>
          </w:p>
        </w:tc>
      </w:tr>
      <w:tr w:rsidR="00CA6670" w:rsidRPr="00BA4A1E" w14:paraId="59C54C28"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7B6F5D6F"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nil"/>
              <w:right w:val="nil"/>
            </w:tcBorders>
            <w:shd w:val="clear" w:color="auto" w:fill="auto"/>
            <w:noWrap/>
            <w:vAlign w:val="bottom"/>
            <w:hideMark/>
          </w:tcPr>
          <w:p w14:paraId="7A605EB6"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crediti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1E61D4"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100   </w:t>
            </w:r>
          </w:p>
        </w:tc>
        <w:tc>
          <w:tcPr>
            <w:tcW w:w="0" w:type="auto"/>
            <w:tcBorders>
              <w:top w:val="nil"/>
              <w:left w:val="nil"/>
              <w:bottom w:val="nil"/>
              <w:right w:val="nil"/>
            </w:tcBorders>
            <w:shd w:val="clear" w:color="auto" w:fill="auto"/>
            <w:noWrap/>
            <w:vAlign w:val="bottom"/>
            <w:hideMark/>
          </w:tcPr>
          <w:p w14:paraId="4E9BE9A4"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cap. soc.</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5F1A6F"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400   </w:t>
            </w:r>
          </w:p>
        </w:tc>
        <w:tc>
          <w:tcPr>
            <w:tcW w:w="0" w:type="auto"/>
            <w:tcBorders>
              <w:top w:val="nil"/>
              <w:left w:val="nil"/>
              <w:bottom w:val="nil"/>
              <w:right w:val="nil"/>
            </w:tcBorders>
            <w:shd w:val="clear" w:color="auto" w:fill="auto"/>
            <w:noWrap/>
            <w:vAlign w:val="bottom"/>
            <w:hideMark/>
          </w:tcPr>
          <w:p w14:paraId="3185F6B5"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7B56442F"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nil"/>
              <w:right w:val="nil"/>
            </w:tcBorders>
            <w:shd w:val="clear" w:color="auto" w:fill="auto"/>
            <w:noWrap/>
            <w:vAlign w:val="bottom"/>
            <w:hideMark/>
          </w:tcPr>
          <w:p w14:paraId="3782B563"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crediti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75699D"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200   </w:t>
            </w:r>
          </w:p>
        </w:tc>
        <w:tc>
          <w:tcPr>
            <w:tcW w:w="0" w:type="auto"/>
            <w:tcBorders>
              <w:top w:val="nil"/>
              <w:left w:val="nil"/>
              <w:bottom w:val="nil"/>
              <w:right w:val="nil"/>
            </w:tcBorders>
            <w:shd w:val="clear" w:color="auto" w:fill="auto"/>
            <w:noWrap/>
            <w:vAlign w:val="bottom"/>
            <w:hideMark/>
          </w:tcPr>
          <w:p w14:paraId="2F616CED"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cap. soc.</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9C7F1D"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400   </w:t>
            </w:r>
          </w:p>
        </w:tc>
      </w:tr>
      <w:tr w:rsidR="00CA6670" w:rsidRPr="00BA4A1E" w14:paraId="09A2189F"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01078575"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nil"/>
              <w:right w:val="nil"/>
            </w:tcBorders>
            <w:shd w:val="clear" w:color="auto" w:fill="auto"/>
            <w:noWrap/>
            <w:vAlign w:val="bottom"/>
            <w:hideMark/>
          </w:tcPr>
          <w:p w14:paraId="189794B3"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banca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05D8A"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100   </w:t>
            </w:r>
          </w:p>
        </w:tc>
        <w:tc>
          <w:tcPr>
            <w:tcW w:w="0" w:type="auto"/>
            <w:tcBorders>
              <w:top w:val="nil"/>
              <w:left w:val="nil"/>
              <w:bottom w:val="nil"/>
              <w:right w:val="nil"/>
            </w:tcBorders>
            <w:shd w:val="clear" w:color="auto" w:fill="auto"/>
            <w:noWrap/>
            <w:vAlign w:val="bottom"/>
            <w:hideMark/>
          </w:tcPr>
          <w:p w14:paraId="7C81332F"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riserve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95958A"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100   </w:t>
            </w:r>
          </w:p>
        </w:tc>
        <w:tc>
          <w:tcPr>
            <w:tcW w:w="0" w:type="auto"/>
            <w:tcBorders>
              <w:top w:val="nil"/>
              <w:left w:val="nil"/>
              <w:bottom w:val="nil"/>
              <w:right w:val="nil"/>
            </w:tcBorders>
            <w:shd w:val="clear" w:color="auto" w:fill="auto"/>
            <w:noWrap/>
            <w:vAlign w:val="bottom"/>
            <w:hideMark/>
          </w:tcPr>
          <w:p w14:paraId="1C9689F4"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56371FAB"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nil"/>
              <w:right w:val="nil"/>
            </w:tcBorders>
            <w:shd w:val="clear" w:color="auto" w:fill="auto"/>
            <w:noWrap/>
            <w:vAlign w:val="bottom"/>
            <w:hideMark/>
          </w:tcPr>
          <w:p w14:paraId="1BC6CEA5"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banca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F25C85"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250   </w:t>
            </w:r>
          </w:p>
        </w:tc>
        <w:tc>
          <w:tcPr>
            <w:tcW w:w="0" w:type="auto"/>
            <w:tcBorders>
              <w:top w:val="nil"/>
              <w:left w:val="nil"/>
              <w:bottom w:val="nil"/>
              <w:right w:val="nil"/>
            </w:tcBorders>
            <w:shd w:val="clear" w:color="auto" w:fill="auto"/>
            <w:noWrap/>
            <w:vAlign w:val="bottom"/>
            <w:hideMark/>
          </w:tcPr>
          <w:p w14:paraId="50D42638"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riserve</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5CB0C41"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150   </w:t>
            </w:r>
          </w:p>
        </w:tc>
      </w:tr>
      <w:tr w:rsidR="00CA6670" w:rsidRPr="00BA4A1E" w14:paraId="005D24F3"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2A973ABE"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single" w:sz="4" w:space="0" w:color="auto"/>
              <w:right w:val="nil"/>
            </w:tcBorders>
            <w:shd w:val="clear" w:color="auto" w:fill="auto"/>
            <w:noWrap/>
            <w:vAlign w:val="bottom"/>
            <w:hideMark/>
          </w:tcPr>
          <w:p w14:paraId="06B56098"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cassa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476B53"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50   </w:t>
            </w:r>
          </w:p>
        </w:tc>
        <w:tc>
          <w:tcPr>
            <w:tcW w:w="0" w:type="auto"/>
            <w:tcBorders>
              <w:top w:val="nil"/>
              <w:left w:val="nil"/>
              <w:bottom w:val="single" w:sz="4" w:space="0" w:color="auto"/>
              <w:right w:val="nil"/>
            </w:tcBorders>
            <w:shd w:val="clear" w:color="auto" w:fill="auto"/>
            <w:noWrap/>
            <w:vAlign w:val="bottom"/>
            <w:hideMark/>
          </w:tcPr>
          <w:p w14:paraId="09ED53A1"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utile x-1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E005B"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100   </w:t>
            </w:r>
          </w:p>
        </w:tc>
        <w:tc>
          <w:tcPr>
            <w:tcW w:w="0" w:type="auto"/>
            <w:tcBorders>
              <w:top w:val="nil"/>
              <w:left w:val="nil"/>
              <w:bottom w:val="nil"/>
              <w:right w:val="nil"/>
            </w:tcBorders>
            <w:shd w:val="clear" w:color="auto" w:fill="auto"/>
            <w:noWrap/>
            <w:vAlign w:val="bottom"/>
            <w:hideMark/>
          </w:tcPr>
          <w:p w14:paraId="5E509E17"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55CDBC16"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nil"/>
              <w:right w:val="nil"/>
            </w:tcBorders>
            <w:shd w:val="clear" w:color="auto" w:fill="auto"/>
            <w:noWrap/>
            <w:vAlign w:val="bottom"/>
            <w:hideMark/>
          </w:tcPr>
          <w:p w14:paraId="50B568C4"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cassa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80F9B3"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50   </w:t>
            </w:r>
          </w:p>
        </w:tc>
        <w:tc>
          <w:tcPr>
            <w:tcW w:w="0" w:type="auto"/>
            <w:tcBorders>
              <w:top w:val="nil"/>
              <w:left w:val="nil"/>
              <w:bottom w:val="nil"/>
              <w:right w:val="nil"/>
            </w:tcBorders>
            <w:shd w:val="clear" w:color="auto" w:fill="auto"/>
            <w:noWrap/>
            <w:vAlign w:val="bottom"/>
            <w:hideMark/>
          </w:tcPr>
          <w:p w14:paraId="20F82158"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utile x</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23F439"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100   </w:t>
            </w:r>
          </w:p>
        </w:tc>
      </w:tr>
      <w:tr w:rsidR="00CA6670" w:rsidRPr="00BA4A1E" w14:paraId="4E8C0E93"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105F2385"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4" w:space="0" w:color="auto"/>
              <w:bottom w:val="single" w:sz="4" w:space="0" w:color="auto"/>
              <w:right w:val="nil"/>
            </w:tcBorders>
            <w:shd w:val="clear" w:color="auto" w:fill="auto"/>
            <w:noWrap/>
            <w:vAlign w:val="bottom"/>
            <w:hideMark/>
          </w:tcPr>
          <w:p w14:paraId="2CE2635C"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TOTALE</w:t>
            </w:r>
          </w:p>
        </w:tc>
        <w:tc>
          <w:tcPr>
            <w:tcW w:w="0" w:type="auto"/>
            <w:tcBorders>
              <w:top w:val="nil"/>
              <w:left w:val="nil"/>
              <w:bottom w:val="single" w:sz="4" w:space="0" w:color="auto"/>
              <w:right w:val="single" w:sz="4" w:space="0" w:color="auto"/>
            </w:tcBorders>
            <w:shd w:val="clear" w:color="auto" w:fill="auto"/>
            <w:noWrap/>
            <w:vAlign w:val="bottom"/>
            <w:hideMark/>
          </w:tcPr>
          <w:p w14:paraId="040A918E"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1.500   </w:t>
            </w:r>
          </w:p>
        </w:tc>
        <w:tc>
          <w:tcPr>
            <w:tcW w:w="0" w:type="auto"/>
            <w:tcBorders>
              <w:top w:val="nil"/>
              <w:left w:val="nil"/>
              <w:bottom w:val="single" w:sz="4" w:space="0" w:color="auto"/>
              <w:right w:val="nil"/>
            </w:tcBorders>
            <w:shd w:val="clear" w:color="auto" w:fill="auto"/>
            <w:noWrap/>
            <w:vAlign w:val="bottom"/>
            <w:hideMark/>
          </w:tcPr>
          <w:p w14:paraId="247EA511"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TOTALE</w:t>
            </w:r>
          </w:p>
        </w:tc>
        <w:tc>
          <w:tcPr>
            <w:tcW w:w="0" w:type="auto"/>
            <w:tcBorders>
              <w:top w:val="nil"/>
              <w:left w:val="nil"/>
              <w:bottom w:val="single" w:sz="4" w:space="0" w:color="auto"/>
              <w:right w:val="single" w:sz="4" w:space="0" w:color="auto"/>
            </w:tcBorders>
            <w:shd w:val="clear" w:color="auto" w:fill="auto"/>
            <w:noWrap/>
            <w:vAlign w:val="bottom"/>
            <w:hideMark/>
          </w:tcPr>
          <w:p w14:paraId="298F44A9"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1.500   </w:t>
            </w:r>
          </w:p>
        </w:tc>
        <w:tc>
          <w:tcPr>
            <w:tcW w:w="0" w:type="auto"/>
            <w:tcBorders>
              <w:top w:val="nil"/>
              <w:left w:val="nil"/>
              <w:bottom w:val="nil"/>
              <w:right w:val="nil"/>
            </w:tcBorders>
            <w:shd w:val="clear" w:color="auto" w:fill="auto"/>
            <w:noWrap/>
            <w:vAlign w:val="bottom"/>
            <w:hideMark/>
          </w:tcPr>
          <w:p w14:paraId="7849C5CF"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41367BCD"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2384D00"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TOTALE</w:t>
            </w:r>
          </w:p>
        </w:tc>
        <w:tc>
          <w:tcPr>
            <w:tcW w:w="0" w:type="auto"/>
            <w:tcBorders>
              <w:top w:val="nil"/>
              <w:left w:val="nil"/>
              <w:bottom w:val="single" w:sz="4" w:space="0" w:color="auto"/>
              <w:right w:val="single" w:sz="4" w:space="0" w:color="auto"/>
            </w:tcBorders>
            <w:shd w:val="clear" w:color="auto" w:fill="auto"/>
            <w:noWrap/>
            <w:vAlign w:val="bottom"/>
            <w:hideMark/>
          </w:tcPr>
          <w:p w14:paraId="24EED790"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1.550   </w:t>
            </w:r>
          </w:p>
        </w:tc>
        <w:tc>
          <w:tcPr>
            <w:tcW w:w="0" w:type="auto"/>
            <w:tcBorders>
              <w:top w:val="single" w:sz="4" w:space="0" w:color="auto"/>
              <w:left w:val="nil"/>
              <w:bottom w:val="single" w:sz="4" w:space="0" w:color="auto"/>
              <w:right w:val="nil"/>
            </w:tcBorders>
            <w:shd w:val="clear" w:color="auto" w:fill="auto"/>
            <w:noWrap/>
            <w:vAlign w:val="bottom"/>
            <w:hideMark/>
          </w:tcPr>
          <w:p w14:paraId="79D06BA0"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TOTALE</w:t>
            </w:r>
          </w:p>
        </w:tc>
        <w:tc>
          <w:tcPr>
            <w:tcW w:w="0" w:type="auto"/>
            <w:tcBorders>
              <w:top w:val="nil"/>
              <w:left w:val="nil"/>
              <w:bottom w:val="single" w:sz="4" w:space="0" w:color="auto"/>
              <w:right w:val="single" w:sz="8" w:space="0" w:color="auto"/>
            </w:tcBorders>
            <w:shd w:val="clear" w:color="auto" w:fill="auto"/>
            <w:noWrap/>
            <w:vAlign w:val="bottom"/>
            <w:hideMark/>
          </w:tcPr>
          <w:p w14:paraId="4BBDE1CB"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1.550   </w:t>
            </w:r>
          </w:p>
        </w:tc>
      </w:tr>
      <w:tr w:rsidR="00CA6670" w:rsidRPr="00BA4A1E" w14:paraId="13F6E62C" w14:textId="77777777" w:rsidTr="002A45EC">
        <w:trPr>
          <w:jc w:val="center"/>
        </w:trPr>
        <w:tc>
          <w:tcPr>
            <w:tcW w:w="0" w:type="auto"/>
            <w:tcBorders>
              <w:top w:val="nil"/>
              <w:left w:val="single" w:sz="8" w:space="0" w:color="auto"/>
              <w:bottom w:val="single" w:sz="8" w:space="0" w:color="auto"/>
              <w:right w:val="nil"/>
            </w:tcBorders>
            <w:shd w:val="clear" w:color="auto" w:fill="auto"/>
            <w:noWrap/>
            <w:vAlign w:val="bottom"/>
            <w:hideMark/>
          </w:tcPr>
          <w:p w14:paraId="6E17F178"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single" w:sz="8" w:space="0" w:color="auto"/>
              <w:right w:val="nil"/>
            </w:tcBorders>
            <w:shd w:val="clear" w:color="auto" w:fill="auto"/>
            <w:noWrap/>
            <w:vAlign w:val="bottom"/>
            <w:hideMark/>
          </w:tcPr>
          <w:p w14:paraId="27978128"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single" w:sz="8" w:space="0" w:color="auto"/>
              <w:right w:val="nil"/>
            </w:tcBorders>
            <w:shd w:val="clear" w:color="auto" w:fill="auto"/>
            <w:noWrap/>
            <w:vAlign w:val="bottom"/>
            <w:hideMark/>
          </w:tcPr>
          <w:p w14:paraId="7A42990B"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single" w:sz="8" w:space="0" w:color="auto"/>
              <w:right w:val="nil"/>
            </w:tcBorders>
            <w:shd w:val="clear" w:color="auto" w:fill="auto"/>
            <w:noWrap/>
            <w:vAlign w:val="bottom"/>
            <w:hideMark/>
          </w:tcPr>
          <w:p w14:paraId="67F64011"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single" w:sz="8" w:space="0" w:color="auto"/>
              <w:right w:val="nil"/>
            </w:tcBorders>
            <w:shd w:val="clear" w:color="auto" w:fill="auto"/>
            <w:noWrap/>
            <w:vAlign w:val="bottom"/>
            <w:hideMark/>
          </w:tcPr>
          <w:p w14:paraId="6D04BCCA"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single" w:sz="8" w:space="0" w:color="auto"/>
              <w:right w:val="nil"/>
            </w:tcBorders>
            <w:shd w:val="clear" w:color="auto" w:fill="auto"/>
            <w:noWrap/>
            <w:vAlign w:val="bottom"/>
            <w:hideMark/>
          </w:tcPr>
          <w:p w14:paraId="69CB91CF"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single" w:sz="8" w:space="0" w:color="auto"/>
              <w:bottom w:val="nil"/>
              <w:right w:val="nil"/>
            </w:tcBorders>
            <w:shd w:val="clear" w:color="auto" w:fill="auto"/>
            <w:noWrap/>
            <w:vAlign w:val="bottom"/>
            <w:hideMark/>
          </w:tcPr>
          <w:p w14:paraId="41A598ED"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08E89710"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5DF807EB"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0F54AAAD"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single" w:sz="8" w:space="0" w:color="auto"/>
            </w:tcBorders>
            <w:shd w:val="clear" w:color="auto" w:fill="auto"/>
            <w:noWrap/>
            <w:vAlign w:val="bottom"/>
            <w:hideMark/>
          </w:tcPr>
          <w:p w14:paraId="3E245C54"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r>
      <w:tr w:rsidR="00CA6670" w:rsidRPr="00BA4A1E" w14:paraId="4FCA19DD"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01E8EFCB"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6043EF00"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2934ABF2"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64B51E55"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13597E4B"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6B4ECDCC"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493A010C"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5146FF9A"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2BC89369" w14:textId="77777777" w:rsidR="002A45EC" w:rsidRPr="00BA4A1E" w:rsidRDefault="002A45EC" w:rsidP="002A45EC">
            <w:pPr>
              <w:rPr>
                <w:rFonts w:ascii="Calibri" w:hAnsi="Calibri"/>
                <w:color w:val="000000" w:themeColor="text1"/>
              </w:rPr>
            </w:pPr>
          </w:p>
        </w:tc>
        <w:tc>
          <w:tcPr>
            <w:tcW w:w="0" w:type="auto"/>
            <w:gridSpan w:val="2"/>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CBDC2A" w14:textId="77777777" w:rsidR="002A45EC" w:rsidRPr="00BA4A1E" w:rsidRDefault="002A45EC" w:rsidP="002A45EC">
            <w:pPr>
              <w:jc w:val="center"/>
              <w:rPr>
                <w:rFonts w:ascii="Calibri" w:hAnsi="Calibri"/>
                <w:color w:val="000000" w:themeColor="text1"/>
              </w:rPr>
            </w:pPr>
            <w:r w:rsidRPr="00BA4A1E">
              <w:rPr>
                <w:rFonts w:ascii="Calibri" w:hAnsi="Calibri"/>
                <w:color w:val="000000" w:themeColor="text1"/>
              </w:rPr>
              <w:t xml:space="preserve">CONTO ECONOMICO </w:t>
            </w:r>
            <w:r w:rsidRPr="00BA4A1E">
              <w:rPr>
                <w:rFonts w:ascii="Calibri" w:hAnsi="Calibri"/>
                <w:bCs/>
                <w:color w:val="000000" w:themeColor="text1"/>
              </w:rPr>
              <w:t>X</w:t>
            </w:r>
          </w:p>
        </w:tc>
      </w:tr>
      <w:tr w:rsidR="00CA6670" w:rsidRPr="00BA4A1E" w14:paraId="6C9E7352"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174F0EA0"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4EF0D3B6"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07F6C0D1"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204FC148"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2EB6B934"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32EBD5C2"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1C745376"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35B2A37E"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2136F982" w14:textId="77777777" w:rsidR="002A45EC" w:rsidRPr="00BA4A1E" w:rsidRDefault="002A45EC" w:rsidP="002A45EC">
            <w:pPr>
              <w:rPr>
                <w:rFonts w:ascii="Calibri" w:hAnsi="Calibri"/>
                <w:color w:val="000000" w:themeColor="text1"/>
              </w:rPr>
            </w:pPr>
          </w:p>
        </w:tc>
        <w:tc>
          <w:tcPr>
            <w:tcW w:w="0" w:type="auto"/>
            <w:tcBorders>
              <w:top w:val="nil"/>
              <w:left w:val="single" w:sz="4" w:space="0" w:color="auto"/>
              <w:bottom w:val="nil"/>
              <w:right w:val="nil"/>
            </w:tcBorders>
            <w:shd w:val="clear" w:color="auto" w:fill="auto"/>
            <w:noWrap/>
            <w:vAlign w:val="bottom"/>
            <w:hideMark/>
          </w:tcPr>
          <w:p w14:paraId="550EB6CF"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vendite</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880116"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1.510   </w:t>
            </w:r>
          </w:p>
        </w:tc>
      </w:tr>
      <w:tr w:rsidR="00CA6670" w:rsidRPr="00BA4A1E" w14:paraId="638A2415"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15BAF1D3"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tcPr>
          <w:p w14:paraId="3FDBE7D2" w14:textId="29CDBDB2" w:rsidR="002A45EC" w:rsidRPr="00BA4A1E" w:rsidRDefault="002A45EC" w:rsidP="002A45EC">
            <w:pPr>
              <w:rPr>
                <w:rFonts w:ascii="Calibri" w:hAnsi="Calibri"/>
                <w:bCs/>
                <w:color w:val="000000" w:themeColor="text1"/>
              </w:rPr>
            </w:pPr>
          </w:p>
        </w:tc>
        <w:tc>
          <w:tcPr>
            <w:tcW w:w="0" w:type="auto"/>
            <w:tcBorders>
              <w:top w:val="nil"/>
              <w:left w:val="nil"/>
              <w:bottom w:val="nil"/>
              <w:right w:val="nil"/>
            </w:tcBorders>
            <w:shd w:val="clear" w:color="auto" w:fill="auto"/>
            <w:noWrap/>
            <w:vAlign w:val="bottom"/>
          </w:tcPr>
          <w:p w14:paraId="725937A8"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63B91619"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4E91B6D7"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47203650"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39D07D98"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0E6F0497"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540FDC90" w14:textId="77777777" w:rsidR="002A45EC" w:rsidRPr="00BA4A1E" w:rsidRDefault="002A45EC" w:rsidP="002A45EC">
            <w:pPr>
              <w:rPr>
                <w:rFonts w:ascii="Calibri" w:hAnsi="Calibri"/>
                <w:color w:val="000000" w:themeColor="text1"/>
              </w:rPr>
            </w:pPr>
          </w:p>
        </w:tc>
        <w:tc>
          <w:tcPr>
            <w:tcW w:w="0" w:type="auto"/>
            <w:tcBorders>
              <w:top w:val="nil"/>
              <w:left w:val="single" w:sz="4" w:space="0" w:color="auto"/>
              <w:bottom w:val="nil"/>
              <w:right w:val="nil"/>
            </w:tcBorders>
            <w:shd w:val="clear" w:color="auto" w:fill="auto"/>
            <w:noWrap/>
            <w:vAlign w:val="bottom"/>
            <w:hideMark/>
          </w:tcPr>
          <w:p w14:paraId="7F8D53A1"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var scorte</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CE4717"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100   </w:t>
            </w:r>
          </w:p>
        </w:tc>
      </w:tr>
      <w:tr w:rsidR="00CA6670" w:rsidRPr="00BA4A1E" w14:paraId="0177D804"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459714AB"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tcPr>
          <w:p w14:paraId="5000B232" w14:textId="0BD7AE90"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tcPr>
          <w:p w14:paraId="45C10C58" w14:textId="54F310C8"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1A036031"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0E8DF193"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76794999"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26097170"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53519D18"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7D047F87" w14:textId="77777777" w:rsidR="002A45EC" w:rsidRPr="00BA4A1E" w:rsidRDefault="002A45EC" w:rsidP="002A45EC">
            <w:pPr>
              <w:rPr>
                <w:rFonts w:ascii="Calibri" w:hAnsi="Calibri"/>
                <w:color w:val="000000" w:themeColor="text1"/>
              </w:rPr>
            </w:pPr>
          </w:p>
        </w:tc>
        <w:tc>
          <w:tcPr>
            <w:tcW w:w="0" w:type="auto"/>
            <w:tcBorders>
              <w:top w:val="nil"/>
              <w:left w:val="single" w:sz="4" w:space="0" w:color="auto"/>
              <w:bottom w:val="nil"/>
              <w:right w:val="nil"/>
            </w:tcBorders>
            <w:shd w:val="clear" w:color="auto" w:fill="auto"/>
            <w:noWrap/>
            <w:vAlign w:val="bottom"/>
            <w:hideMark/>
          </w:tcPr>
          <w:p w14:paraId="309D47C5"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plusvalenze</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D70F6F"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40   </w:t>
            </w:r>
          </w:p>
        </w:tc>
      </w:tr>
      <w:tr w:rsidR="00CA6670" w:rsidRPr="00BA4A1E" w14:paraId="3CF8E7AF"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6DA6B7E4"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tcPr>
          <w:p w14:paraId="2FE986A3" w14:textId="67247DFC"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tcPr>
          <w:p w14:paraId="2CDEF44E" w14:textId="6C507EFC"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004F2D0E"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788027F5"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6789D2D8"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2D6AA5D3"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6F686511"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12FA4014" w14:textId="77777777" w:rsidR="002A45EC" w:rsidRPr="00BA4A1E" w:rsidRDefault="002A45EC" w:rsidP="002A45EC">
            <w:pPr>
              <w:rPr>
                <w:rFonts w:ascii="Calibri" w:hAnsi="Calibri"/>
                <w:color w:val="000000" w:themeColor="text1"/>
              </w:rPr>
            </w:pPr>
          </w:p>
        </w:tc>
        <w:tc>
          <w:tcPr>
            <w:tcW w:w="0" w:type="auto"/>
            <w:tcBorders>
              <w:top w:val="nil"/>
              <w:left w:val="single" w:sz="4" w:space="0" w:color="auto"/>
              <w:bottom w:val="nil"/>
              <w:right w:val="nil"/>
            </w:tcBorders>
            <w:shd w:val="clear" w:color="auto" w:fill="auto"/>
            <w:noWrap/>
            <w:vAlign w:val="bottom"/>
            <w:hideMark/>
          </w:tcPr>
          <w:p w14:paraId="2578FF55"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acquisti</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DE81EF8"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1.000   </w:t>
            </w:r>
          </w:p>
        </w:tc>
      </w:tr>
      <w:tr w:rsidR="00CA6670" w:rsidRPr="00BA4A1E" w14:paraId="0617B94D"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33DD0B60"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tcPr>
          <w:p w14:paraId="420A43CE" w14:textId="304E4388"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tcPr>
          <w:p w14:paraId="1ED81F30" w14:textId="7E0210DF"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643136BF"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4F0E3413"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6EF08BF3"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1D35DB52"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362B9DF3"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42573FDB" w14:textId="77777777" w:rsidR="002A45EC" w:rsidRPr="00BA4A1E" w:rsidRDefault="002A45EC" w:rsidP="002A45EC">
            <w:pPr>
              <w:rPr>
                <w:rFonts w:ascii="Calibri" w:hAnsi="Calibri"/>
                <w:color w:val="000000" w:themeColor="text1"/>
              </w:rPr>
            </w:pPr>
          </w:p>
        </w:tc>
        <w:tc>
          <w:tcPr>
            <w:tcW w:w="0" w:type="auto"/>
            <w:tcBorders>
              <w:top w:val="nil"/>
              <w:left w:val="single" w:sz="4" w:space="0" w:color="auto"/>
              <w:bottom w:val="nil"/>
              <w:right w:val="nil"/>
            </w:tcBorders>
            <w:shd w:val="clear" w:color="auto" w:fill="auto"/>
            <w:noWrap/>
            <w:vAlign w:val="bottom"/>
            <w:hideMark/>
          </w:tcPr>
          <w:p w14:paraId="28398076"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stipendi</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0208C8"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400   </w:t>
            </w:r>
          </w:p>
        </w:tc>
      </w:tr>
      <w:tr w:rsidR="00CA6670" w:rsidRPr="00BA4A1E" w14:paraId="69E905EA"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572C6DE0"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5E801F56"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743F14D5"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330F337B"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6936B226"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725D4C0B"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003B45F3"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7CF729CE"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310BBC53" w14:textId="77777777" w:rsidR="002A45EC" w:rsidRPr="00BA4A1E" w:rsidRDefault="002A45EC" w:rsidP="002A45EC">
            <w:pPr>
              <w:rPr>
                <w:rFonts w:ascii="Calibri" w:hAnsi="Calibri"/>
                <w:color w:val="000000" w:themeColor="text1"/>
              </w:rPr>
            </w:pPr>
          </w:p>
        </w:tc>
        <w:tc>
          <w:tcPr>
            <w:tcW w:w="0" w:type="auto"/>
            <w:tcBorders>
              <w:top w:val="nil"/>
              <w:left w:val="single" w:sz="4" w:space="0" w:color="auto"/>
              <w:bottom w:val="nil"/>
              <w:right w:val="nil"/>
            </w:tcBorders>
            <w:shd w:val="clear" w:color="auto" w:fill="auto"/>
            <w:noWrap/>
            <w:vAlign w:val="bottom"/>
            <w:hideMark/>
          </w:tcPr>
          <w:p w14:paraId="2A448103"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ammortamenti</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162729"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50   </w:t>
            </w:r>
          </w:p>
        </w:tc>
      </w:tr>
      <w:tr w:rsidR="00CA6670" w:rsidRPr="00BA4A1E" w14:paraId="73C05E20"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2B94E0CA"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098065C0"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1DCC2B5A"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3CA7E2CE"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0FB4BAC7"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236E11C7"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50ACBC95"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0DCB904D"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556B8A3A" w14:textId="77777777" w:rsidR="002A45EC" w:rsidRPr="00BA4A1E" w:rsidRDefault="002A45EC" w:rsidP="002A45EC">
            <w:pPr>
              <w:rPr>
                <w:rFonts w:ascii="Calibri" w:hAnsi="Calibri"/>
                <w:color w:val="000000" w:themeColor="text1"/>
              </w:rPr>
            </w:pPr>
          </w:p>
        </w:tc>
        <w:tc>
          <w:tcPr>
            <w:tcW w:w="0" w:type="auto"/>
            <w:tcBorders>
              <w:top w:val="nil"/>
              <w:left w:val="single" w:sz="4" w:space="0" w:color="auto"/>
              <w:bottom w:val="nil"/>
              <w:right w:val="nil"/>
            </w:tcBorders>
            <w:shd w:val="clear" w:color="auto" w:fill="auto"/>
            <w:noWrap/>
            <w:vAlign w:val="bottom"/>
            <w:hideMark/>
          </w:tcPr>
          <w:p w14:paraId="19A2AC03"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svalutazione crediti</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ADB9DF"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10   </w:t>
            </w:r>
          </w:p>
        </w:tc>
      </w:tr>
      <w:tr w:rsidR="00CA6670" w:rsidRPr="00BA4A1E" w14:paraId="2E6AE685"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35E7E1B8"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1BCB1F7F"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5A8401D5"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15473926"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68682871"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7EE45562"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18AC84BE"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2D6D357B"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51A97BF6" w14:textId="77777777" w:rsidR="002A45EC" w:rsidRPr="00BA4A1E" w:rsidRDefault="002A45EC" w:rsidP="002A45EC">
            <w:pPr>
              <w:rPr>
                <w:rFonts w:ascii="Calibri" w:hAnsi="Calibri"/>
                <w:color w:val="000000" w:themeColor="text1"/>
              </w:rPr>
            </w:pPr>
          </w:p>
        </w:tc>
        <w:tc>
          <w:tcPr>
            <w:tcW w:w="0" w:type="auto"/>
            <w:tcBorders>
              <w:top w:val="nil"/>
              <w:left w:val="single" w:sz="4" w:space="0" w:color="auto"/>
              <w:bottom w:val="single" w:sz="4" w:space="0" w:color="auto"/>
              <w:right w:val="nil"/>
            </w:tcBorders>
            <w:shd w:val="clear" w:color="auto" w:fill="auto"/>
            <w:noWrap/>
            <w:vAlign w:val="bottom"/>
            <w:hideMark/>
          </w:tcPr>
          <w:p w14:paraId="6E0562C2"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imposte</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AA96E0"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90   </w:t>
            </w:r>
          </w:p>
        </w:tc>
      </w:tr>
      <w:tr w:rsidR="00CA6670" w:rsidRPr="00BA4A1E" w14:paraId="2D55306B" w14:textId="77777777" w:rsidTr="002A45EC">
        <w:trPr>
          <w:jc w:val="center"/>
        </w:trPr>
        <w:tc>
          <w:tcPr>
            <w:tcW w:w="0" w:type="auto"/>
            <w:tcBorders>
              <w:top w:val="nil"/>
              <w:left w:val="single" w:sz="8" w:space="0" w:color="auto"/>
              <w:bottom w:val="nil"/>
              <w:right w:val="nil"/>
            </w:tcBorders>
            <w:shd w:val="clear" w:color="auto" w:fill="auto"/>
            <w:noWrap/>
            <w:vAlign w:val="bottom"/>
            <w:hideMark/>
          </w:tcPr>
          <w:p w14:paraId="561A394F"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47155FFE"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1A107A61"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05338C52"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259AD84B"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4068790E"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nil"/>
              <w:right w:val="nil"/>
            </w:tcBorders>
            <w:shd w:val="clear" w:color="auto" w:fill="auto"/>
            <w:noWrap/>
            <w:vAlign w:val="bottom"/>
            <w:hideMark/>
          </w:tcPr>
          <w:p w14:paraId="02F8F6B1"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nil"/>
              <w:right w:val="nil"/>
            </w:tcBorders>
            <w:shd w:val="clear" w:color="auto" w:fill="auto"/>
            <w:noWrap/>
            <w:vAlign w:val="bottom"/>
            <w:hideMark/>
          </w:tcPr>
          <w:p w14:paraId="241C874B" w14:textId="77777777" w:rsidR="002A45EC" w:rsidRPr="00BA4A1E" w:rsidRDefault="002A45EC" w:rsidP="002A45EC">
            <w:pPr>
              <w:rPr>
                <w:rFonts w:ascii="Calibri" w:hAnsi="Calibri"/>
                <w:color w:val="000000" w:themeColor="text1"/>
              </w:rPr>
            </w:pPr>
          </w:p>
        </w:tc>
        <w:tc>
          <w:tcPr>
            <w:tcW w:w="0" w:type="auto"/>
            <w:tcBorders>
              <w:top w:val="nil"/>
              <w:left w:val="nil"/>
              <w:bottom w:val="nil"/>
              <w:right w:val="nil"/>
            </w:tcBorders>
            <w:shd w:val="clear" w:color="auto" w:fill="auto"/>
            <w:noWrap/>
            <w:vAlign w:val="bottom"/>
            <w:hideMark/>
          </w:tcPr>
          <w:p w14:paraId="757F1B6A" w14:textId="77777777" w:rsidR="002A45EC" w:rsidRPr="00BA4A1E" w:rsidRDefault="002A45EC" w:rsidP="002A45EC">
            <w:pPr>
              <w:rPr>
                <w:rFonts w:ascii="Calibri" w:hAnsi="Calibri"/>
                <w:color w:val="000000" w:themeColor="text1"/>
              </w:rPr>
            </w:pPr>
          </w:p>
        </w:tc>
        <w:tc>
          <w:tcPr>
            <w:tcW w:w="0" w:type="auto"/>
            <w:tcBorders>
              <w:top w:val="nil"/>
              <w:left w:val="single" w:sz="4" w:space="0" w:color="auto"/>
              <w:bottom w:val="single" w:sz="4" w:space="0" w:color="auto"/>
              <w:right w:val="nil"/>
            </w:tcBorders>
            <w:shd w:val="clear" w:color="auto" w:fill="auto"/>
            <w:noWrap/>
            <w:vAlign w:val="bottom"/>
            <w:hideMark/>
          </w:tcPr>
          <w:p w14:paraId="284BBA2E"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utile</w:t>
            </w:r>
          </w:p>
        </w:tc>
        <w:tc>
          <w:tcPr>
            <w:tcW w:w="0" w:type="auto"/>
            <w:tcBorders>
              <w:top w:val="nil"/>
              <w:left w:val="nil"/>
              <w:bottom w:val="single" w:sz="4" w:space="0" w:color="auto"/>
              <w:right w:val="single" w:sz="8" w:space="0" w:color="auto"/>
            </w:tcBorders>
            <w:shd w:val="clear" w:color="auto" w:fill="auto"/>
            <w:noWrap/>
            <w:vAlign w:val="bottom"/>
            <w:hideMark/>
          </w:tcPr>
          <w:p w14:paraId="7C32362C" w14:textId="77777777" w:rsidR="002A45EC" w:rsidRPr="00BA4A1E" w:rsidRDefault="002A45EC" w:rsidP="002A45EC">
            <w:pPr>
              <w:jc w:val="right"/>
              <w:rPr>
                <w:rFonts w:ascii="Calibri" w:hAnsi="Calibri"/>
                <w:color w:val="000000" w:themeColor="text1"/>
              </w:rPr>
            </w:pPr>
            <w:r w:rsidRPr="00BA4A1E">
              <w:rPr>
                <w:rFonts w:ascii="Calibri" w:hAnsi="Calibri"/>
                <w:color w:val="000000" w:themeColor="text1"/>
              </w:rPr>
              <w:t xml:space="preserve"> 100   </w:t>
            </w:r>
          </w:p>
        </w:tc>
      </w:tr>
      <w:tr w:rsidR="002A45EC" w:rsidRPr="00BA4A1E" w14:paraId="6C4EE5AB" w14:textId="77777777" w:rsidTr="002A45EC">
        <w:trPr>
          <w:jc w:val="center"/>
        </w:trPr>
        <w:tc>
          <w:tcPr>
            <w:tcW w:w="0" w:type="auto"/>
            <w:tcBorders>
              <w:top w:val="nil"/>
              <w:left w:val="single" w:sz="8" w:space="0" w:color="auto"/>
              <w:bottom w:val="single" w:sz="8" w:space="0" w:color="auto"/>
              <w:right w:val="nil"/>
            </w:tcBorders>
            <w:shd w:val="clear" w:color="auto" w:fill="auto"/>
            <w:noWrap/>
            <w:vAlign w:val="bottom"/>
            <w:hideMark/>
          </w:tcPr>
          <w:p w14:paraId="382F4B38" w14:textId="77777777" w:rsidR="002A45EC" w:rsidRPr="00BA4A1E" w:rsidRDefault="002A45EC" w:rsidP="002A45EC">
            <w:pPr>
              <w:rPr>
                <w:rFonts w:ascii="Calibri" w:hAnsi="Calibri"/>
                <w:color w:val="000000" w:themeColor="text1"/>
              </w:rPr>
            </w:pPr>
          </w:p>
        </w:tc>
        <w:tc>
          <w:tcPr>
            <w:tcW w:w="0" w:type="auto"/>
            <w:tcBorders>
              <w:top w:val="nil"/>
              <w:left w:val="nil"/>
              <w:bottom w:val="single" w:sz="8" w:space="0" w:color="auto"/>
              <w:right w:val="nil"/>
            </w:tcBorders>
            <w:shd w:val="clear" w:color="auto" w:fill="auto"/>
            <w:noWrap/>
            <w:vAlign w:val="bottom"/>
            <w:hideMark/>
          </w:tcPr>
          <w:p w14:paraId="09656EBA" w14:textId="77777777" w:rsidR="002A45EC" w:rsidRPr="00BA4A1E" w:rsidRDefault="002A45EC" w:rsidP="002A45EC">
            <w:pPr>
              <w:rPr>
                <w:rFonts w:ascii="Calibri" w:hAnsi="Calibri"/>
                <w:color w:val="000000" w:themeColor="text1"/>
              </w:rPr>
            </w:pPr>
          </w:p>
        </w:tc>
        <w:tc>
          <w:tcPr>
            <w:tcW w:w="0" w:type="auto"/>
            <w:tcBorders>
              <w:top w:val="nil"/>
              <w:left w:val="nil"/>
              <w:bottom w:val="single" w:sz="8" w:space="0" w:color="auto"/>
              <w:right w:val="nil"/>
            </w:tcBorders>
            <w:shd w:val="clear" w:color="auto" w:fill="auto"/>
            <w:noWrap/>
            <w:vAlign w:val="bottom"/>
            <w:hideMark/>
          </w:tcPr>
          <w:p w14:paraId="13557EB6" w14:textId="77777777" w:rsidR="002A45EC" w:rsidRPr="00BA4A1E" w:rsidRDefault="002A45EC" w:rsidP="002A45EC">
            <w:pPr>
              <w:rPr>
                <w:rFonts w:ascii="Calibri" w:hAnsi="Calibri"/>
                <w:color w:val="000000" w:themeColor="text1"/>
              </w:rPr>
            </w:pPr>
          </w:p>
        </w:tc>
        <w:tc>
          <w:tcPr>
            <w:tcW w:w="0" w:type="auto"/>
            <w:tcBorders>
              <w:top w:val="nil"/>
              <w:left w:val="nil"/>
              <w:bottom w:val="single" w:sz="8" w:space="0" w:color="auto"/>
              <w:right w:val="nil"/>
            </w:tcBorders>
            <w:shd w:val="clear" w:color="auto" w:fill="auto"/>
            <w:noWrap/>
            <w:vAlign w:val="bottom"/>
            <w:hideMark/>
          </w:tcPr>
          <w:p w14:paraId="51EAB4E1" w14:textId="77777777" w:rsidR="002A45EC" w:rsidRPr="00BA4A1E" w:rsidRDefault="002A45EC" w:rsidP="002A45EC">
            <w:pPr>
              <w:rPr>
                <w:rFonts w:ascii="Calibri" w:hAnsi="Calibri"/>
                <w:color w:val="000000" w:themeColor="text1"/>
              </w:rPr>
            </w:pPr>
          </w:p>
        </w:tc>
        <w:tc>
          <w:tcPr>
            <w:tcW w:w="0" w:type="auto"/>
            <w:tcBorders>
              <w:top w:val="nil"/>
              <w:left w:val="nil"/>
              <w:bottom w:val="single" w:sz="8" w:space="0" w:color="auto"/>
              <w:right w:val="nil"/>
            </w:tcBorders>
            <w:shd w:val="clear" w:color="auto" w:fill="auto"/>
            <w:noWrap/>
            <w:vAlign w:val="bottom"/>
            <w:hideMark/>
          </w:tcPr>
          <w:p w14:paraId="3429EE63" w14:textId="77777777" w:rsidR="002A45EC" w:rsidRPr="00BA4A1E" w:rsidRDefault="002A45EC" w:rsidP="002A45EC">
            <w:pPr>
              <w:rPr>
                <w:rFonts w:ascii="Calibri" w:hAnsi="Calibri"/>
                <w:color w:val="000000" w:themeColor="text1"/>
              </w:rPr>
            </w:pPr>
          </w:p>
        </w:tc>
        <w:tc>
          <w:tcPr>
            <w:tcW w:w="0" w:type="auto"/>
            <w:tcBorders>
              <w:top w:val="nil"/>
              <w:left w:val="nil"/>
              <w:bottom w:val="single" w:sz="8" w:space="0" w:color="auto"/>
              <w:right w:val="nil"/>
            </w:tcBorders>
            <w:shd w:val="clear" w:color="auto" w:fill="auto"/>
            <w:noWrap/>
            <w:vAlign w:val="bottom"/>
            <w:hideMark/>
          </w:tcPr>
          <w:p w14:paraId="47AB0CDA" w14:textId="77777777" w:rsidR="002A45EC" w:rsidRPr="00BA4A1E" w:rsidRDefault="002A45EC" w:rsidP="002A45EC">
            <w:pPr>
              <w:rPr>
                <w:rFonts w:ascii="Calibri" w:hAnsi="Calibri"/>
                <w:color w:val="000000" w:themeColor="text1"/>
              </w:rPr>
            </w:pPr>
          </w:p>
        </w:tc>
        <w:tc>
          <w:tcPr>
            <w:tcW w:w="0" w:type="auto"/>
            <w:tcBorders>
              <w:top w:val="nil"/>
              <w:left w:val="single" w:sz="8" w:space="0" w:color="auto"/>
              <w:bottom w:val="single" w:sz="8" w:space="0" w:color="auto"/>
              <w:right w:val="nil"/>
            </w:tcBorders>
            <w:shd w:val="clear" w:color="auto" w:fill="auto"/>
            <w:noWrap/>
            <w:vAlign w:val="bottom"/>
            <w:hideMark/>
          </w:tcPr>
          <w:p w14:paraId="0818EC94"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single" w:sz="8" w:space="0" w:color="auto"/>
              <w:right w:val="nil"/>
            </w:tcBorders>
            <w:shd w:val="clear" w:color="auto" w:fill="auto"/>
            <w:noWrap/>
            <w:vAlign w:val="bottom"/>
            <w:hideMark/>
          </w:tcPr>
          <w:p w14:paraId="3F389407"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single" w:sz="8" w:space="0" w:color="auto"/>
              <w:right w:val="nil"/>
            </w:tcBorders>
            <w:shd w:val="clear" w:color="auto" w:fill="auto"/>
            <w:noWrap/>
            <w:vAlign w:val="bottom"/>
            <w:hideMark/>
          </w:tcPr>
          <w:p w14:paraId="78939519"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single" w:sz="8" w:space="0" w:color="auto"/>
              <w:right w:val="nil"/>
            </w:tcBorders>
            <w:shd w:val="clear" w:color="auto" w:fill="auto"/>
            <w:noWrap/>
            <w:vAlign w:val="bottom"/>
            <w:hideMark/>
          </w:tcPr>
          <w:p w14:paraId="50CBE800"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c>
          <w:tcPr>
            <w:tcW w:w="0" w:type="auto"/>
            <w:tcBorders>
              <w:top w:val="nil"/>
              <w:left w:val="nil"/>
              <w:bottom w:val="single" w:sz="8" w:space="0" w:color="auto"/>
              <w:right w:val="single" w:sz="8" w:space="0" w:color="auto"/>
            </w:tcBorders>
            <w:shd w:val="clear" w:color="auto" w:fill="auto"/>
            <w:noWrap/>
            <w:vAlign w:val="bottom"/>
            <w:hideMark/>
          </w:tcPr>
          <w:p w14:paraId="39903505" w14:textId="77777777" w:rsidR="002A45EC" w:rsidRPr="00BA4A1E" w:rsidRDefault="002A45EC" w:rsidP="002A45EC">
            <w:pPr>
              <w:rPr>
                <w:rFonts w:ascii="Calibri" w:hAnsi="Calibri"/>
                <w:color w:val="000000" w:themeColor="text1"/>
              </w:rPr>
            </w:pPr>
            <w:r w:rsidRPr="00BA4A1E">
              <w:rPr>
                <w:rFonts w:ascii="Calibri" w:hAnsi="Calibri"/>
                <w:color w:val="000000" w:themeColor="text1"/>
              </w:rPr>
              <w:t> </w:t>
            </w:r>
          </w:p>
        </w:tc>
      </w:tr>
    </w:tbl>
    <w:p w14:paraId="439D743F" w14:textId="77777777" w:rsidR="00582FB5" w:rsidRPr="00BA4A1E" w:rsidRDefault="00582FB5" w:rsidP="000C1D2F">
      <w:pPr>
        <w:widowControl w:val="0"/>
        <w:jc w:val="both"/>
        <w:outlineLvl w:val="0"/>
        <w:rPr>
          <w:rFonts w:ascii="Verdana" w:hAnsi="Verdana"/>
          <w:color w:val="000000" w:themeColor="text1"/>
          <w:sz w:val="22"/>
          <w:szCs w:val="22"/>
          <w:u w:val="single"/>
        </w:rPr>
      </w:pPr>
    </w:p>
    <w:p w14:paraId="4E25C69D" w14:textId="77777777" w:rsidR="00CA6670" w:rsidRPr="00BA4A1E" w:rsidRDefault="00CA6670">
      <w:pPr>
        <w:rPr>
          <w:rFonts w:ascii="Verdana" w:hAnsi="Verdana"/>
          <w:color w:val="000000" w:themeColor="text1"/>
          <w:sz w:val="22"/>
          <w:szCs w:val="22"/>
          <w:u w:val="single"/>
        </w:rPr>
      </w:pPr>
    </w:p>
    <w:p w14:paraId="7FFD22A8" w14:textId="5D44FEBE" w:rsidR="00CA6670" w:rsidRPr="00BA4A1E" w:rsidRDefault="00CA6670" w:rsidP="00CA6670">
      <w:pPr>
        <w:jc w:val="both"/>
        <w:rPr>
          <w:rFonts w:ascii="Verdana" w:hAnsi="Verdana"/>
          <w:color w:val="000000" w:themeColor="text1"/>
          <w:sz w:val="22"/>
          <w:szCs w:val="22"/>
        </w:rPr>
      </w:pPr>
      <w:r w:rsidRPr="00BA4A1E">
        <w:rPr>
          <w:rFonts w:ascii="Verdana" w:hAnsi="Verdana"/>
          <w:color w:val="000000" w:themeColor="text1"/>
          <w:sz w:val="22"/>
          <w:szCs w:val="22"/>
        </w:rPr>
        <w:t>La Gamma S.p.A. presenta la seguente situazione debitoria sull'estero al 31/12/2016: un debito di dollari 485.000 (sorto a seguito dell'acquisto di servizi all'estero) è stato rilevato in contabilità al cambio euro/dollari 1,05. A fine esercizio il cambio euro/dollari è pari a 1,15.  Si proceda alla determinazione delle differenze su cambi e all'iscrizione dei valori nel bilancio dell'esercizio X1.</w:t>
      </w:r>
    </w:p>
    <w:p w14:paraId="2AA0A989" w14:textId="2B8B8A5D" w:rsidR="0000782D" w:rsidRPr="00BA4A1E" w:rsidRDefault="0000782D" w:rsidP="00134B64">
      <w:pPr>
        <w:rPr>
          <w:rFonts w:ascii="Verdana" w:hAnsi="Verdana"/>
          <w:color w:val="000000" w:themeColor="text1"/>
          <w:sz w:val="22"/>
          <w:szCs w:val="22"/>
          <w:u w:val="single"/>
        </w:rPr>
      </w:pPr>
    </w:p>
    <w:sectPr w:rsidR="0000782D" w:rsidRPr="00BA4A1E" w:rsidSect="000D1B75">
      <w:headerReference w:type="default" r:id="rId8"/>
      <w:footerReference w:type="default" r:id="rId9"/>
      <w:pgSz w:w="11900" w:h="16840"/>
      <w:pgMar w:top="1417" w:right="843"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117C4" w14:textId="77777777" w:rsidR="00062447" w:rsidRDefault="00062447">
      <w:r>
        <w:separator/>
      </w:r>
    </w:p>
  </w:endnote>
  <w:endnote w:type="continuationSeparator" w:id="0">
    <w:p w14:paraId="77D3BA1D" w14:textId="77777777" w:rsidR="00062447" w:rsidRDefault="0006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926379"/>
      <w:docPartObj>
        <w:docPartGallery w:val="Page Numbers (Bottom of Page)"/>
        <w:docPartUnique/>
      </w:docPartObj>
    </w:sdtPr>
    <w:sdtEndPr/>
    <w:sdtContent>
      <w:p w14:paraId="00B0436F" w14:textId="79D6D46D" w:rsidR="008E31FE" w:rsidRDefault="008E31FE">
        <w:pPr>
          <w:pStyle w:val="Pidipagina"/>
          <w:jc w:val="center"/>
        </w:pPr>
        <w:r>
          <w:fldChar w:fldCharType="begin"/>
        </w:r>
        <w:r>
          <w:instrText>PAGE   \* MERGEFORMAT</w:instrText>
        </w:r>
        <w:r>
          <w:fldChar w:fldCharType="separate"/>
        </w:r>
        <w:r w:rsidR="00350B02">
          <w:rPr>
            <w:noProof/>
          </w:rPr>
          <w:t>5</w:t>
        </w:r>
        <w:r>
          <w:fldChar w:fldCharType="end"/>
        </w:r>
      </w:p>
    </w:sdtContent>
  </w:sdt>
  <w:p w14:paraId="08F18B98" w14:textId="77777777" w:rsidR="008E31FE" w:rsidRDefault="008E31FE">
    <w:pPr>
      <w:pStyle w:val="Pidipagina"/>
      <w:rPr>
        <w:rFonts w:ascii="Verdana" w:hAnsi="Verdan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41687" w14:textId="77777777" w:rsidR="00062447" w:rsidRDefault="00062447">
      <w:r>
        <w:separator/>
      </w:r>
    </w:p>
  </w:footnote>
  <w:footnote w:type="continuationSeparator" w:id="0">
    <w:p w14:paraId="61311DE5" w14:textId="77777777" w:rsidR="00062447" w:rsidRDefault="0006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AE2B" w14:textId="0D846685" w:rsidR="008E31FE" w:rsidRDefault="008E31FE" w:rsidP="00134B64">
    <w:pPr>
      <w:pBdr>
        <w:bottom w:val="single" w:sz="4" w:space="1" w:color="auto"/>
      </w:pBdr>
      <w:jc w:val="center"/>
      <w:rPr>
        <w:rFonts w:ascii="Verdana" w:hAnsi="Verdana"/>
        <w:sz w:val="22"/>
        <w:szCs w:val="22"/>
      </w:rPr>
    </w:pPr>
    <w:r>
      <w:rPr>
        <w:rFonts w:ascii="Verdana" w:hAnsi="Verdana"/>
        <w:sz w:val="22"/>
        <w:szCs w:val="22"/>
      </w:rPr>
      <w:t xml:space="preserve">Università di Firenze - Corso di Contabilità e Bilancio </w:t>
    </w:r>
  </w:p>
  <w:p w14:paraId="4DA1A2EF" w14:textId="77777777" w:rsidR="008E31FE" w:rsidRDefault="008E31F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2672D"/>
    <w:multiLevelType w:val="hybridMultilevel"/>
    <w:tmpl w:val="08F85E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A13156"/>
    <w:multiLevelType w:val="hybridMultilevel"/>
    <w:tmpl w:val="E5AC9936"/>
    <w:lvl w:ilvl="0" w:tplc="83CEE43E">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31604AC"/>
    <w:multiLevelType w:val="multilevel"/>
    <w:tmpl w:val="C9B6E3C0"/>
    <w:styleLink w:val="WWNum1"/>
    <w:lvl w:ilvl="0">
      <w:numFmt w:val="bullet"/>
      <w:lvlText w:val="o"/>
      <w:lvlJc w:val="left"/>
      <w:pPr>
        <w:ind w:left="720" w:hanging="360"/>
      </w:pPr>
      <w:rPr>
        <w:rFonts w:ascii="Courier New" w:hAnsi="Courier New"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 w15:restartNumberingAfterBreak="0">
    <w:nsid w:val="0AA76B17"/>
    <w:multiLevelType w:val="hybridMultilevel"/>
    <w:tmpl w:val="4C9C85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AA7959"/>
    <w:multiLevelType w:val="hybridMultilevel"/>
    <w:tmpl w:val="D67AB618"/>
    <w:lvl w:ilvl="0" w:tplc="981CD026">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32436"/>
    <w:multiLevelType w:val="hybridMultilevel"/>
    <w:tmpl w:val="D730D40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393748"/>
    <w:multiLevelType w:val="hybridMultilevel"/>
    <w:tmpl w:val="EAE85BAC"/>
    <w:lvl w:ilvl="0" w:tplc="BC1C21A0">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D035E0"/>
    <w:multiLevelType w:val="hybridMultilevel"/>
    <w:tmpl w:val="1EBEA85A"/>
    <w:lvl w:ilvl="0" w:tplc="BC1C21A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Wingdings"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Wingdings"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1445BD4"/>
    <w:multiLevelType w:val="hybridMultilevel"/>
    <w:tmpl w:val="2702BC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63683C"/>
    <w:multiLevelType w:val="hybridMultilevel"/>
    <w:tmpl w:val="36CCA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92293E"/>
    <w:multiLevelType w:val="hybridMultilevel"/>
    <w:tmpl w:val="E0C23592"/>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1D7351"/>
    <w:multiLevelType w:val="hybridMultilevel"/>
    <w:tmpl w:val="5C5A6C28"/>
    <w:lvl w:ilvl="0" w:tplc="BC1C21A0">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783AAA"/>
    <w:multiLevelType w:val="hybridMultilevel"/>
    <w:tmpl w:val="8D78A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E5A6F"/>
    <w:multiLevelType w:val="hybridMultilevel"/>
    <w:tmpl w:val="A60488E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2E2143"/>
    <w:multiLevelType w:val="hybridMultilevel"/>
    <w:tmpl w:val="65D2C6B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8D2F3B"/>
    <w:multiLevelType w:val="hybridMultilevel"/>
    <w:tmpl w:val="6DF6D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AF5923"/>
    <w:multiLevelType w:val="hybridMultilevel"/>
    <w:tmpl w:val="BFA4A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6A0500"/>
    <w:multiLevelType w:val="hybridMultilevel"/>
    <w:tmpl w:val="C8724DF6"/>
    <w:lvl w:ilvl="0" w:tplc="539020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562F2301"/>
    <w:multiLevelType w:val="hybridMultilevel"/>
    <w:tmpl w:val="1F9A9D76"/>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72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953440"/>
    <w:multiLevelType w:val="hybridMultilevel"/>
    <w:tmpl w:val="5024D7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425A53"/>
    <w:multiLevelType w:val="hybridMultilevel"/>
    <w:tmpl w:val="E7F414F8"/>
    <w:lvl w:ilvl="0" w:tplc="D9BC934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5C0B62"/>
    <w:multiLevelType w:val="hybridMultilevel"/>
    <w:tmpl w:val="BD8C3764"/>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72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25F03DB"/>
    <w:multiLevelType w:val="hybridMultilevel"/>
    <w:tmpl w:val="153CE2C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0E286B"/>
    <w:multiLevelType w:val="multilevel"/>
    <w:tmpl w:val="BCBE631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Symbo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Symbol"/>
      </w:rPr>
    </w:lvl>
    <w:lvl w:ilvl="8">
      <w:numFmt w:val="bullet"/>
      <w:lvlText w:val=""/>
      <w:lvlJc w:val="left"/>
      <w:pPr>
        <w:ind w:left="6120" w:hanging="360"/>
      </w:pPr>
      <w:rPr>
        <w:rFonts w:ascii="Wingdings" w:hAnsi="Wingdings"/>
      </w:rPr>
    </w:lvl>
  </w:abstractNum>
  <w:abstractNum w:abstractNumId="25" w15:restartNumberingAfterBreak="0">
    <w:nsid w:val="751A3CE6"/>
    <w:multiLevelType w:val="hybridMultilevel"/>
    <w:tmpl w:val="F0220E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9E2F15"/>
    <w:multiLevelType w:val="hybridMultilevel"/>
    <w:tmpl w:val="1242B930"/>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0A7CD7"/>
    <w:multiLevelType w:val="multilevel"/>
    <w:tmpl w:val="18443566"/>
    <w:styleLink w:val="WWNum2"/>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num w:numId="1">
    <w:abstractNumId w:val="7"/>
  </w:num>
  <w:num w:numId="2">
    <w:abstractNumId w:val="6"/>
  </w:num>
  <w:num w:numId="3">
    <w:abstractNumId w:val="3"/>
  </w:num>
  <w:num w:numId="4">
    <w:abstractNumId w:val="27"/>
  </w:num>
  <w:num w:numId="5">
    <w:abstractNumId w:val="24"/>
  </w:num>
  <w:num w:numId="6">
    <w:abstractNumId w:val="12"/>
  </w:num>
  <w:num w:numId="7">
    <w:abstractNumId w:val="5"/>
  </w:num>
  <w:num w:numId="8">
    <w:abstractNumId w:val="11"/>
  </w:num>
  <w:num w:numId="9">
    <w:abstractNumId w:val="23"/>
  </w:num>
  <w:num w:numId="10">
    <w:abstractNumId w:val="19"/>
  </w:num>
  <w:num w:numId="11">
    <w:abstractNumId w:val="22"/>
  </w:num>
  <w:num w:numId="12">
    <w:abstractNumId w:val="0"/>
  </w:num>
  <w:num w:numId="13">
    <w:abstractNumId w:val="15"/>
  </w:num>
  <w:num w:numId="14">
    <w:abstractNumId w:val="26"/>
  </w:num>
  <w:num w:numId="15">
    <w:abstractNumId w:val="10"/>
  </w:num>
  <w:num w:numId="16">
    <w:abstractNumId w:val="21"/>
  </w:num>
  <w:num w:numId="17">
    <w:abstractNumId w:val="9"/>
  </w:num>
  <w:num w:numId="18">
    <w:abstractNumId w:val="17"/>
  </w:num>
  <w:num w:numId="19">
    <w:abstractNumId w:val="4"/>
  </w:num>
  <w:num w:numId="20">
    <w:abstractNumId w:val="1"/>
  </w:num>
  <w:num w:numId="21">
    <w:abstractNumId w:val="16"/>
  </w:num>
  <w:num w:numId="22">
    <w:abstractNumId w:val="13"/>
  </w:num>
  <w:num w:numId="23">
    <w:abstractNumId w:val="20"/>
  </w:num>
  <w:num w:numId="24">
    <w:abstractNumId w:val="14"/>
  </w:num>
  <w:num w:numId="25">
    <w:abstractNumId w:val="25"/>
  </w:num>
  <w:num w:numId="26">
    <w:abstractNumId w:val="18"/>
  </w:num>
  <w:num w:numId="27">
    <w:abstractNumId w:val="2"/>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A1"/>
    <w:rsid w:val="0000782D"/>
    <w:rsid w:val="000127CD"/>
    <w:rsid w:val="00023F7E"/>
    <w:rsid w:val="00047D2A"/>
    <w:rsid w:val="00057B05"/>
    <w:rsid w:val="00062447"/>
    <w:rsid w:val="000644DF"/>
    <w:rsid w:val="00074F86"/>
    <w:rsid w:val="00077036"/>
    <w:rsid w:val="00081A46"/>
    <w:rsid w:val="00087DA3"/>
    <w:rsid w:val="000C1D2F"/>
    <w:rsid w:val="000C43E6"/>
    <w:rsid w:val="000D1B75"/>
    <w:rsid w:val="000D5122"/>
    <w:rsid w:val="000E3B12"/>
    <w:rsid w:val="001131B7"/>
    <w:rsid w:val="00132BF5"/>
    <w:rsid w:val="00133666"/>
    <w:rsid w:val="00134B64"/>
    <w:rsid w:val="00135836"/>
    <w:rsid w:val="00143F86"/>
    <w:rsid w:val="00157424"/>
    <w:rsid w:val="00157FEF"/>
    <w:rsid w:val="00164D05"/>
    <w:rsid w:val="00180031"/>
    <w:rsid w:val="0018487E"/>
    <w:rsid w:val="00194AA5"/>
    <w:rsid w:val="001E1627"/>
    <w:rsid w:val="001E7D21"/>
    <w:rsid w:val="001F660B"/>
    <w:rsid w:val="00206BC8"/>
    <w:rsid w:val="002145AA"/>
    <w:rsid w:val="00216001"/>
    <w:rsid w:val="00223DCE"/>
    <w:rsid w:val="00230063"/>
    <w:rsid w:val="002416FB"/>
    <w:rsid w:val="0028266E"/>
    <w:rsid w:val="00297C9B"/>
    <w:rsid w:val="002A0B76"/>
    <w:rsid w:val="002A45EC"/>
    <w:rsid w:val="002B1D99"/>
    <w:rsid w:val="002C29F3"/>
    <w:rsid w:val="003113E6"/>
    <w:rsid w:val="003149CC"/>
    <w:rsid w:val="00325C3A"/>
    <w:rsid w:val="00350B02"/>
    <w:rsid w:val="00354C2F"/>
    <w:rsid w:val="003877D8"/>
    <w:rsid w:val="00397C5C"/>
    <w:rsid w:val="003B4CF4"/>
    <w:rsid w:val="003E5D9C"/>
    <w:rsid w:val="003E5EE7"/>
    <w:rsid w:val="004032EC"/>
    <w:rsid w:val="00405008"/>
    <w:rsid w:val="00413109"/>
    <w:rsid w:val="00414463"/>
    <w:rsid w:val="00423C8B"/>
    <w:rsid w:val="0045350D"/>
    <w:rsid w:val="00483EC9"/>
    <w:rsid w:val="00487662"/>
    <w:rsid w:val="00495736"/>
    <w:rsid w:val="00497E91"/>
    <w:rsid w:val="004A7D0A"/>
    <w:rsid w:val="004B238D"/>
    <w:rsid w:val="004B66A9"/>
    <w:rsid w:val="004D2A57"/>
    <w:rsid w:val="004D2FEF"/>
    <w:rsid w:val="00515070"/>
    <w:rsid w:val="0052103B"/>
    <w:rsid w:val="00530DB9"/>
    <w:rsid w:val="00554C3B"/>
    <w:rsid w:val="005622F2"/>
    <w:rsid w:val="00570B3B"/>
    <w:rsid w:val="00571AD2"/>
    <w:rsid w:val="00582FB5"/>
    <w:rsid w:val="00590A68"/>
    <w:rsid w:val="00595DC1"/>
    <w:rsid w:val="005C06E5"/>
    <w:rsid w:val="005D636A"/>
    <w:rsid w:val="005E2355"/>
    <w:rsid w:val="005E50A4"/>
    <w:rsid w:val="005F642C"/>
    <w:rsid w:val="006244AC"/>
    <w:rsid w:val="00634C7C"/>
    <w:rsid w:val="0063568E"/>
    <w:rsid w:val="006465F8"/>
    <w:rsid w:val="00652CD9"/>
    <w:rsid w:val="00667B47"/>
    <w:rsid w:val="00676BD0"/>
    <w:rsid w:val="00686C1B"/>
    <w:rsid w:val="006B75AC"/>
    <w:rsid w:val="006D119C"/>
    <w:rsid w:val="006D5AE4"/>
    <w:rsid w:val="006F12D5"/>
    <w:rsid w:val="00701186"/>
    <w:rsid w:val="007206A4"/>
    <w:rsid w:val="00724FAB"/>
    <w:rsid w:val="0073048B"/>
    <w:rsid w:val="00750022"/>
    <w:rsid w:val="00763A0A"/>
    <w:rsid w:val="0079109A"/>
    <w:rsid w:val="007A111B"/>
    <w:rsid w:val="007C4663"/>
    <w:rsid w:val="007D062C"/>
    <w:rsid w:val="007D3CA1"/>
    <w:rsid w:val="007E305E"/>
    <w:rsid w:val="007E7029"/>
    <w:rsid w:val="0080678B"/>
    <w:rsid w:val="00822B49"/>
    <w:rsid w:val="00824308"/>
    <w:rsid w:val="00834C88"/>
    <w:rsid w:val="008516BB"/>
    <w:rsid w:val="008708AF"/>
    <w:rsid w:val="00873A40"/>
    <w:rsid w:val="0088233B"/>
    <w:rsid w:val="008D7136"/>
    <w:rsid w:val="008E31FE"/>
    <w:rsid w:val="00900452"/>
    <w:rsid w:val="0090516B"/>
    <w:rsid w:val="00912DF7"/>
    <w:rsid w:val="00922A4D"/>
    <w:rsid w:val="00926E00"/>
    <w:rsid w:val="00930ACA"/>
    <w:rsid w:val="009341D8"/>
    <w:rsid w:val="009377FA"/>
    <w:rsid w:val="00937BA4"/>
    <w:rsid w:val="00943980"/>
    <w:rsid w:val="00951B57"/>
    <w:rsid w:val="00983C9C"/>
    <w:rsid w:val="009B38F2"/>
    <w:rsid w:val="009C1129"/>
    <w:rsid w:val="009C3BBC"/>
    <w:rsid w:val="009D52AE"/>
    <w:rsid w:val="009D5CB0"/>
    <w:rsid w:val="00A15C30"/>
    <w:rsid w:val="00A26E15"/>
    <w:rsid w:val="00A463F2"/>
    <w:rsid w:val="00A54099"/>
    <w:rsid w:val="00A61DDB"/>
    <w:rsid w:val="00A87B5D"/>
    <w:rsid w:val="00A91799"/>
    <w:rsid w:val="00AC0267"/>
    <w:rsid w:val="00AC1E86"/>
    <w:rsid w:val="00AE33C8"/>
    <w:rsid w:val="00AE7D18"/>
    <w:rsid w:val="00B11168"/>
    <w:rsid w:val="00B356D9"/>
    <w:rsid w:val="00B475FD"/>
    <w:rsid w:val="00B62755"/>
    <w:rsid w:val="00B66628"/>
    <w:rsid w:val="00B75886"/>
    <w:rsid w:val="00B762B4"/>
    <w:rsid w:val="00B9540F"/>
    <w:rsid w:val="00B96810"/>
    <w:rsid w:val="00BA4A1E"/>
    <w:rsid w:val="00BF19DD"/>
    <w:rsid w:val="00C000E6"/>
    <w:rsid w:val="00C57F3C"/>
    <w:rsid w:val="00C67B67"/>
    <w:rsid w:val="00C701C9"/>
    <w:rsid w:val="00C8339B"/>
    <w:rsid w:val="00C940A3"/>
    <w:rsid w:val="00CA6670"/>
    <w:rsid w:val="00CC76FE"/>
    <w:rsid w:val="00D26792"/>
    <w:rsid w:val="00D27289"/>
    <w:rsid w:val="00D64307"/>
    <w:rsid w:val="00D65FD4"/>
    <w:rsid w:val="00D66779"/>
    <w:rsid w:val="00D70FCD"/>
    <w:rsid w:val="00D72DF6"/>
    <w:rsid w:val="00D94B61"/>
    <w:rsid w:val="00DA1854"/>
    <w:rsid w:val="00DD14A4"/>
    <w:rsid w:val="00DE28B0"/>
    <w:rsid w:val="00DF1E04"/>
    <w:rsid w:val="00E22BFA"/>
    <w:rsid w:val="00E27E16"/>
    <w:rsid w:val="00E36F73"/>
    <w:rsid w:val="00E6173B"/>
    <w:rsid w:val="00E9096D"/>
    <w:rsid w:val="00EA2CB6"/>
    <w:rsid w:val="00EA5726"/>
    <w:rsid w:val="00EA6EFC"/>
    <w:rsid w:val="00EB7244"/>
    <w:rsid w:val="00EC3484"/>
    <w:rsid w:val="00ED2A53"/>
    <w:rsid w:val="00F07A46"/>
    <w:rsid w:val="00F26039"/>
    <w:rsid w:val="00F2722C"/>
    <w:rsid w:val="00F627B4"/>
    <w:rsid w:val="00F656A1"/>
    <w:rsid w:val="00FA48A0"/>
    <w:rsid w:val="00FB1DEC"/>
    <w:rsid w:val="00FB4486"/>
    <w:rsid w:val="00FC06EF"/>
    <w:rsid w:val="00FD33DD"/>
    <w:rsid w:val="00FE6582"/>
    <w:rsid w:val="00FF2D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B111B"/>
  <w15:docId w15:val="{F67CE31E-460E-4A9F-BA94-2DD77AD6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B75"/>
    <w:rPr>
      <w:rFonts w:ascii="Book Antiqua" w:eastAsia="Times New Roman" w:hAnsi="Book Antiqu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D1B75"/>
    <w:pPr>
      <w:spacing w:before="300"/>
    </w:pPr>
    <w:rPr>
      <w:rFonts w:ascii="Garamond" w:hAnsi="Garamond"/>
      <w:sz w:val="24"/>
    </w:rPr>
  </w:style>
  <w:style w:type="character" w:customStyle="1" w:styleId="CorpotestoCarattere">
    <w:name w:val="Corpo testo Carattere"/>
    <w:basedOn w:val="Carpredefinitoparagrafo"/>
    <w:link w:val="Corpotesto"/>
    <w:rsid w:val="000D1B75"/>
    <w:rPr>
      <w:rFonts w:ascii="Garamond" w:eastAsia="Times New Roman" w:hAnsi="Garamond" w:cs="Times New Roman"/>
      <w:szCs w:val="20"/>
    </w:rPr>
  </w:style>
  <w:style w:type="paragraph" w:styleId="Paragrafoelenco">
    <w:name w:val="List Paragraph"/>
    <w:basedOn w:val="Normale"/>
    <w:uiPriority w:val="34"/>
    <w:qFormat/>
    <w:rsid w:val="000D1B75"/>
    <w:pPr>
      <w:spacing w:after="200" w:line="276" w:lineRule="auto"/>
      <w:ind w:left="720"/>
      <w:contextualSpacing/>
    </w:pPr>
    <w:rPr>
      <w:rFonts w:ascii="Calibri" w:eastAsia="Calibri" w:hAnsi="Calibri"/>
      <w:sz w:val="22"/>
      <w:szCs w:val="22"/>
      <w:lang w:eastAsia="en-US"/>
    </w:rPr>
  </w:style>
  <w:style w:type="paragraph" w:customStyle="1" w:styleId="Stile10">
    <w:name w:val="Stile10"/>
    <w:basedOn w:val="Normale"/>
    <w:link w:val="Stile10Carattere"/>
    <w:qFormat/>
    <w:rsid w:val="000D1B75"/>
    <w:pPr>
      <w:spacing w:line="240" w:lineRule="exact"/>
      <w:jc w:val="both"/>
    </w:pPr>
    <w:rPr>
      <w:rFonts w:ascii="Verdana" w:hAnsi="Verdana"/>
      <w:sz w:val="22"/>
      <w:szCs w:val="22"/>
    </w:rPr>
  </w:style>
  <w:style w:type="character" w:customStyle="1" w:styleId="Stile10Carattere">
    <w:name w:val="Stile10 Carattere"/>
    <w:link w:val="Stile10"/>
    <w:rsid w:val="000D1B75"/>
    <w:rPr>
      <w:rFonts w:ascii="Verdana" w:eastAsia="Times New Roman" w:hAnsi="Verdana" w:cs="Times New Roman"/>
      <w:sz w:val="22"/>
      <w:szCs w:val="22"/>
    </w:rPr>
  </w:style>
  <w:style w:type="paragraph" w:customStyle="1" w:styleId="Didascaliafigura">
    <w:name w:val="Didascalia figura"/>
    <w:basedOn w:val="Normale"/>
    <w:next w:val="Normale"/>
    <w:rsid w:val="000D1B75"/>
    <w:pPr>
      <w:tabs>
        <w:tab w:val="left" w:pos="9356"/>
      </w:tabs>
      <w:spacing w:before="360" w:after="120" w:line="260" w:lineRule="exact"/>
      <w:ind w:left="283" w:hanging="283"/>
      <w:jc w:val="both"/>
    </w:pPr>
    <w:rPr>
      <w:rFonts w:ascii="Times New Roman" w:hAnsi="Times New Roman"/>
    </w:rPr>
  </w:style>
  <w:style w:type="paragraph" w:customStyle="1" w:styleId="t2">
    <w:name w:val="t2"/>
    <w:rsid w:val="000D1B75"/>
    <w:pPr>
      <w:widowControl w:val="0"/>
      <w:autoSpaceDE w:val="0"/>
      <w:autoSpaceDN w:val="0"/>
      <w:adjustRightInd w:val="0"/>
      <w:spacing w:before="240" w:after="120"/>
    </w:pPr>
    <w:rPr>
      <w:rFonts w:ascii="Arial" w:eastAsia="Times New Roman" w:hAnsi="Arial" w:cs="Arial"/>
      <w:b/>
      <w:bCs/>
    </w:rPr>
  </w:style>
  <w:style w:type="paragraph" w:customStyle="1" w:styleId="tx">
    <w:name w:val="tx"/>
    <w:rsid w:val="000D1B75"/>
    <w:pPr>
      <w:widowControl w:val="0"/>
      <w:autoSpaceDE w:val="0"/>
      <w:autoSpaceDN w:val="0"/>
      <w:adjustRightInd w:val="0"/>
      <w:jc w:val="both"/>
    </w:pPr>
    <w:rPr>
      <w:rFonts w:ascii="Book Antiqua" w:eastAsia="Times New Roman" w:hAnsi="Book Antiqua" w:cs="Times New Roman"/>
      <w:sz w:val="21"/>
      <w:szCs w:val="23"/>
    </w:rPr>
  </w:style>
  <w:style w:type="paragraph" w:styleId="Testofumetto">
    <w:name w:val="Balloon Text"/>
    <w:basedOn w:val="Normale"/>
    <w:link w:val="TestofumettoCarattere"/>
    <w:uiPriority w:val="99"/>
    <w:semiHidden/>
    <w:unhideWhenUsed/>
    <w:rsid w:val="000D1B7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1B75"/>
    <w:rPr>
      <w:rFonts w:ascii="Lucida Grande" w:eastAsia="Times New Roman" w:hAnsi="Lucida Grande" w:cs="Lucida Grande"/>
      <w:sz w:val="18"/>
      <w:szCs w:val="18"/>
    </w:rPr>
  </w:style>
  <w:style w:type="paragraph" w:customStyle="1" w:styleId="Corpodeltesto1">
    <w:name w:val="Corpo del testo1"/>
    <w:basedOn w:val="Normale"/>
    <w:rsid w:val="000D1B75"/>
    <w:pPr>
      <w:spacing w:line="234" w:lineRule="exact"/>
      <w:ind w:firstLine="227"/>
      <w:jc w:val="both"/>
    </w:pPr>
    <w:rPr>
      <w:rFonts w:ascii="Times New Roman" w:hAnsi="Times New Roman"/>
      <w:kern w:val="19"/>
      <w:sz w:val="21"/>
    </w:rPr>
  </w:style>
  <w:style w:type="character" w:styleId="Rimandocommento">
    <w:name w:val="annotation reference"/>
    <w:basedOn w:val="Carpredefinitoparagrafo"/>
    <w:uiPriority w:val="99"/>
    <w:semiHidden/>
    <w:unhideWhenUsed/>
    <w:rsid w:val="000D1B75"/>
    <w:rPr>
      <w:sz w:val="16"/>
      <w:szCs w:val="16"/>
    </w:rPr>
  </w:style>
  <w:style w:type="paragraph" w:styleId="Testocommento">
    <w:name w:val="annotation text"/>
    <w:basedOn w:val="Normale"/>
    <w:link w:val="TestocommentoCarattere"/>
    <w:uiPriority w:val="99"/>
    <w:semiHidden/>
    <w:unhideWhenUsed/>
    <w:rsid w:val="000D1B75"/>
  </w:style>
  <w:style w:type="character" w:customStyle="1" w:styleId="TestocommentoCarattere">
    <w:name w:val="Testo commento Carattere"/>
    <w:basedOn w:val="Carpredefinitoparagrafo"/>
    <w:link w:val="Testocommento"/>
    <w:uiPriority w:val="99"/>
    <w:semiHidden/>
    <w:rsid w:val="000D1B75"/>
    <w:rPr>
      <w:rFonts w:ascii="Book Antiqua" w:eastAsia="Times New Roman" w:hAnsi="Book Antiqua" w:cs="Times New Roman"/>
      <w:sz w:val="20"/>
      <w:szCs w:val="20"/>
    </w:rPr>
  </w:style>
  <w:style w:type="paragraph" w:styleId="Soggettocommento">
    <w:name w:val="annotation subject"/>
    <w:basedOn w:val="Testocommento"/>
    <w:next w:val="Testocommento"/>
    <w:link w:val="SoggettocommentoCarattere"/>
    <w:uiPriority w:val="99"/>
    <w:semiHidden/>
    <w:unhideWhenUsed/>
    <w:rsid w:val="000D1B75"/>
    <w:rPr>
      <w:b/>
      <w:bCs/>
    </w:rPr>
  </w:style>
  <w:style w:type="character" w:customStyle="1" w:styleId="SoggettocommentoCarattere">
    <w:name w:val="Soggetto commento Carattere"/>
    <w:basedOn w:val="TestocommentoCarattere"/>
    <w:link w:val="Soggettocommento"/>
    <w:uiPriority w:val="99"/>
    <w:semiHidden/>
    <w:rsid w:val="000D1B75"/>
    <w:rPr>
      <w:rFonts w:ascii="Book Antiqua" w:eastAsia="Times New Roman" w:hAnsi="Book Antiqua" w:cs="Times New Roman"/>
      <w:b/>
      <w:bCs/>
      <w:sz w:val="20"/>
      <w:szCs w:val="20"/>
    </w:rPr>
  </w:style>
  <w:style w:type="paragraph" w:styleId="Intestazione">
    <w:name w:val="header"/>
    <w:basedOn w:val="Normale"/>
    <w:link w:val="IntestazioneCarattere"/>
    <w:uiPriority w:val="99"/>
    <w:unhideWhenUsed/>
    <w:rsid w:val="000D1B75"/>
    <w:pPr>
      <w:tabs>
        <w:tab w:val="center" w:pos="4819"/>
        <w:tab w:val="right" w:pos="9638"/>
      </w:tabs>
    </w:pPr>
  </w:style>
  <w:style w:type="character" w:customStyle="1" w:styleId="IntestazioneCarattere">
    <w:name w:val="Intestazione Carattere"/>
    <w:basedOn w:val="Carpredefinitoparagrafo"/>
    <w:link w:val="Intestazione"/>
    <w:uiPriority w:val="99"/>
    <w:rsid w:val="000D1B75"/>
    <w:rPr>
      <w:rFonts w:ascii="Book Antiqua" w:eastAsia="Times New Roman" w:hAnsi="Book Antiqua" w:cs="Times New Roman"/>
      <w:sz w:val="20"/>
      <w:szCs w:val="20"/>
    </w:rPr>
  </w:style>
  <w:style w:type="paragraph" w:styleId="Pidipagina">
    <w:name w:val="footer"/>
    <w:basedOn w:val="Normale"/>
    <w:link w:val="PidipaginaCarattere"/>
    <w:uiPriority w:val="99"/>
    <w:unhideWhenUsed/>
    <w:rsid w:val="000D1B75"/>
    <w:pPr>
      <w:tabs>
        <w:tab w:val="center" w:pos="4819"/>
        <w:tab w:val="right" w:pos="9638"/>
      </w:tabs>
    </w:pPr>
  </w:style>
  <w:style w:type="character" w:customStyle="1" w:styleId="PidipaginaCarattere">
    <w:name w:val="Piè di pagina Carattere"/>
    <w:basedOn w:val="Carpredefinitoparagrafo"/>
    <w:link w:val="Pidipagina"/>
    <w:uiPriority w:val="99"/>
    <w:rsid w:val="000D1B75"/>
    <w:rPr>
      <w:rFonts w:ascii="Book Antiqua" w:eastAsia="Times New Roman" w:hAnsi="Book Antiqua" w:cs="Times New Roman"/>
      <w:sz w:val="20"/>
      <w:szCs w:val="20"/>
    </w:rPr>
  </w:style>
  <w:style w:type="paragraph" w:customStyle="1" w:styleId="Standard">
    <w:name w:val="Standard"/>
    <w:rsid w:val="00B762B4"/>
    <w:pPr>
      <w:suppressAutoHyphens/>
      <w:autoSpaceDN w:val="0"/>
      <w:textAlignment w:val="baseline"/>
    </w:pPr>
    <w:rPr>
      <w:rFonts w:ascii="Book Antiqua" w:eastAsia="Times New Roman" w:hAnsi="Book Antiqua" w:cs="Times New Roman"/>
      <w:kern w:val="3"/>
      <w:sz w:val="20"/>
      <w:szCs w:val="20"/>
    </w:rPr>
  </w:style>
  <w:style w:type="paragraph" w:customStyle="1" w:styleId="Textbody">
    <w:name w:val="Text body"/>
    <w:basedOn w:val="Standard"/>
    <w:rsid w:val="00B762B4"/>
    <w:pPr>
      <w:spacing w:before="300"/>
    </w:pPr>
    <w:rPr>
      <w:rFonts w:ascii="Garamond" w:hAnsi="Garamond"/>
      <w:sz w:val="24"/>
    </w:rPr>
  </w:style>
  <w:style w:type="numbering" w:customStyle="1" w:styleId="WWNum1">
    <w:name w:val="WWNum1"/>
    <w:basedOn w:val="Nessunelenco"/>
    <w:rsid w:val="00B762B4"/>
    <w:pPr>
      <w:numPr>
        <w:numId w:val="3"/>
      </w:numPr>
    </w:pPr>
  </w:style>
  <w:style w:type="numbering" w:customStyle="1" w:styleId="WWNum2">
    <w:name w:val="WWNum2"/>
    <w:basedOn w:val="Nessunelenco"/>
    <w:rsid w:val="00B762B4"/>
    <w:pPr>
      <w:numPr>
        <w:numId w:val="4"/>
      </w:numPr>
    </w:pPr>
  </w:style>
  <w:style w:type="numbering" w:customStyle="1" w:styleId="WWNum3">
    <w:name w:val="WWNum3"/>
    <w:basedOn w:val="Nessunelenco"/>
    <w:rsid w:val="00B762B4"/>
    <w:pPr>
      <w:numPr>
        <w:numId w:val="5"/>
      </w:numPr>
    </w:pPr>
  </w:style>
  <w:style w:type="paragraph" w:styleId="Corpodeltesto2">
    <w:name w:val="Body Text 2"/>
    <w:basedOn w:val="Normale"/>
    <w:link w:val="Corpodeltesto2Carattere"/>
    <w:uiPriority w:val="99"/>
    <w:semiHidden/>
    <w:unhideWhenUsed/>
    <w:rsid w:val="007D062C"/>
    <w:pPr>
      <w:spacing w:after="120" w:line="480" w:lineRule="auto"/>
    </w:pPr>
  </w:style>
  <w:style w:type="character" w:customStyle="1" w:styleId="Corpodeltesto2Carattere">
    <w:name w:val="Corpo del testo 2 Carattere"/>
    <w:basedOn w:val="Carpredefinitoparagrafo"/>
    <w:link w:val="Corpodeltesto2"/>
    <w:uiPriority w:val="99"/>
    <w:semiHidden/>
    <w:rsid w:val="007D062C"/>
    <w:rPr>
      <w:rFonts w:ascii="Book Antiqua" w:eastAsia="Times New Roman" w:hAnsi="Book Antiqua" w:cs="Times New Roman"/>
      <w:sz w:val="20"/>
      <w:szCs w:val="20"/>
    </w:rPr>
  </w:style>
  <w:style w:type="paragraph" w:styleId="Nessunaspaziatura">
    <w:name w:val="No Spacing"/>
    <w:uiPriority w:val="1"/>
    <w:qFormat/>
    <w:rsid w:val="00E22BFA"/>
    <w:rPr>
      <w:rFonts w:ascii="Book Antiqua" w:eastAsia="Times New Roman" w:hAnsi="Book Antiqua" w:cs="Times New Roman"/>
      <w:sz w:val="20"/>
      <w:szCs w:val="20"/>
    </w:rPr>
  </w:style>
  <w:style w:type="paragraph" w:styleId="Citazione">
    <w:name w:val="Quote"/>
    <w:basedOn w:val="Normale"/>
    <w:next w:val="Normale"/>
    <w:link w:val="CitazioneCarattere"/>
    <w:qFormat/>
    <w:rsid w:val="003B4CF4"/>
    <w:rPr>
      <w:i/>
      <w:iCs/>
      <w:color w:val="000000"/>
      <w:lang w:val="x-none" w:eastAsia="x-none"/>
    </w:rPr>
  </w:style>
  <w:style w:type="character" w:customStyle="1" w:styleId="CitazioneCarattere">
    <w:name w:val="Citazione Carattere"/>
    <w:basedOn w:val="Carpredefinitoparagrafo"/>
    <w:link w:val="Citazione"/>
    <w:rsid w:val="003B4CF4"/>
    <w:rPr>
      <w:rFonts w:ascii="Book Antiqua" w:eastAsia="Times New Roman" w:hAnsi="Book Antiqua" w:cs="Times New Roman"/>
      <w:i/>
      <w:iCs/>
      <w:color w:val="00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663">
      <w:bodyDiv w:val="1"/>
      <w:marLeft w:val="0"/>
      <w:marRight w:val="0"/>
      <w:marTop w:val="0"/>
      <w:marBottom w:val="0"/>
      <w:divBdr>
        <w:top w:val="none" w:sz="0" w:space="0" w:color="auto"/>
        <w:left w:val="none" w:sz="0" w:space="0" w:color="auto"/>
        <w:bottom w:val="none" w:sz="0" w:space="0" w:color="auto"/>
        <w:right w:val="none" w:sz="0" w:space="0" w:color="auto"/>
      </w:divBdr>
    </w:div>
    <w:div w:id="113407329">
      <w:bodyDiv w:val="1"/>
      <w:marLeft w:val="0"/>
      <w:marRight w:val="0"/>
      <w:marTop w:val="0"/>
      <w:marBottom w:val="0"/>
      <w:divBdr>
        <w:top w:val="none" w:sz="0" w:space="0" w:color="auto"/>
        <w:left w:val="none" w:sz="0" w:space="0" w:color="auto"/>
        <w:bottom w:val="none" w:sz="0" w:space="0" w:color="auto"/>
        <w:right w:val="none" w:sz="0" w:space="0" w:color="auto"/>
      </w:divBdr>
    </w:div>
    <w:div w:id="123157462">
      <w:bodyDiv w:val="1"/>
      <w:marLeft w:val="0"/>
      <w:marRight w:val="0"/>
      <w:marTop w:val="0"/>
      <w:marBottom w:val="0"/>
      <w:divBdr>
        <w:top w:val="none" w:sz="0" w:space="0" w:color="auto"/>
        <w:left w:val="none" w:sz="0" w:space="0" w:color="auto"/>
        <w:bottom w:val="none" w:sz="0" w:space="0" w:color="auto"/>
        <w:right w:val="none" w:sz="0" w:space="0" w:color="auto"/>
      </w:divBdr>
    </w:div>
    <w:div w:id="142476702">
      <w:bodyDiv w:val="1"/>
      <w:marLeft w:val="0"/>
      <w:marRight w:val="0"/>
      <w:marTop w:val="0"/>
      <w:marBottom w:val="0"/>
      <w:divBdr>
        <w:top w:val="none" w:sz="0" w:space="0" w:color="auto"/>
        <w:left w:val="none" w:sz="0" w:space="0" w:color="auto"/>
        <w:bottom w:val="none" w:sz="0" w:space="0" w:color="auto"/>
        <w:right w:val="none" w:sz="0" w:space="0" w:color="auto"/>
      </w:divBdr>
    </w:div>
    <w:div w:id="167865311">
      <w:bodyDiv w:val="1"/>
      <w:marLeft w:val="0"/>
      <w:marRight w:val="0"/>
      <w:marTop w:val="0"/>
      <w:marBottom w:val="0"/>
      <w:divBdr>
        <w:top w:val="none" w:sz="0" w:space="0" w:color="auto"/>
        <w:left w:val="none" w:sz="0" w:space="0" w:color="auto"/>
        <w:bottom w:val="none" w:sz="0" w:space="0" w:color="auto"/>
        <w:right w:val="none" w:sz="0" w:space="0" w:color="auto"/>
      </w:divBdr>
    </w:div>
    <w:div w:id="317926405">
      <w:bodyDiv w:val="1"/>
      <w:marLeft w:val="0"/>
      <w:marRight w:val="0"/>
      <w:marTop w:val="0"/>
      <w:marBottom w:val="0"/>
      <w:divBdr>
        <w:top w:val="none" w:sz="0" w:space="0" w:color="auto"/>
        <w:left w:val="none" w:sz="0" w:space="0" w:color="auto"/>
        <w:bottom w:val="none" w:sz="0" w:space="0" w:color="auto"/>
        <w:right w:val="none" w:sz="0" w:space="0" w:color="auto"/>
      </w:divBdr>
    </w:div>
    <w:div w:id="331496281">
      <w:bodyDiv w:val="1"/>
      <w:marLeft w:val="0"/>
      <w:marRight w:val="0"/>
      <w:marTop w:val="0"/>
      <w:marBottom w:val="0"/>
      <w:divBdr>
        <w:top w:val="none" w:sz="0" w:space="0" w:color="auto"/>
        <w:left w:val="none" w:sz="0" w:space="0" w:color="auto"/>
        <w:bottom w:val="none" w:sz="0" w:space="0" w:color="auto"/>
        <w:right w:val="none" w:sz="0" w:space="0" w:color="auto"/>
      </w:divBdr>
    </w:div>
    <w:div w:id="548810454">
      <w:bodyDiv w:val="1"/>
      <w:marLeft w:val="0"/>
      <w:marRight w:val="0"/>
      <w:marTop w:val="0"/>
      <w:marBottom w:val="0"/>
      <w:divBdr>
        <w:top w:val="none" w:sz="0" w:space="0" w:color="auto"/>
        <w:left w:val="none" w:sz="0" w:space="0" w:color="auto"/>
        <w:bottom w:val="none" w:sz="0" w:space="0" w:color="auto"/>
        <w:right w:val="none" w:sz="0" w:space="0" w:color="auto"/>
      </w:divBdr>
    </w:div>
    <w:div w:id="648293609">
      <w:bodyDiv w:val="1"/>
      <w:marLeft w:val="0"/>
      <w:marRight w:val="0"/>
      <w:marTop w:val="0"/>
      <w:marBottom w:val="0"/>
      <w:divBdr>
        <w:top w:val="none" w:sz="0" w:space="0" w:color="auto"/>
        <w:left w:val="none" w:sz="0" w:space="0" w:color="auto"/>
        <w:bottom w:val="none" w:sz="0" w:space="0" w:color="auto"/>
        <w:right w:val="none" w:sz="0" w:space="0" w:color="auto"/>
      </w:divBdr>
    </w:div>
    <w:div w:id="665085907">
      <w:bodyDiv w:val="1"/>
      <w:marLeft w:val="0"/>
      <w:marRight w:val="0"/>
      <w:marTop w:val="0"/>
      <w:marBottom w:val="0"/>
      <w:divBdr>
        <w:top w:val="none" w:sz="0" w:space="0" w:color="auto"/>
        <w:left w:val="none" w:sz="0" w:space="0" w:color="auto"/>
        <w:bottom w:val="none" w:sz="0" w:space="0" w:color="auto"/>
        <w:right w:val="none" w:sz="0" w:space="0" w:color="auto"/>
      </w:divBdr>
    </w:div>
    <w:div w:id="817918039">
      <w:bodyDiv w:val="1"/>
      <w:marLeft w:val="0"/>
      <w:marRight w:val="0"/>
      <w:marTop w:val="0"/>
      <w:marBottom w:val="0"/>
      <w:divBdr>
        <w:top w:val="none" w:sz="0" w:space="0" w:color="auto"/>
        <w:left w:val="none" w:sz="0" w:space="0" w:color="auto"/>
        <w:bottom w:val="none" w:sz="0" w:space="0" w:color="auto"/>
        <w:right w:val="none" w:sz="0" w:space="0" w:color="auto"/>
      </w:divBdr>
    </w:div>
    <w:div w:id="827867353">
      <w:bodyDiv w:val="1"/>
      <w:marLeft w:val="0"/>
      <w:marRight w:val="0"/>
      <w:marTop w:val="0"/>
      <w:marBottom w:val="0"/>
      <w:divBdr>
        <w:top w:val="none" w:sz="0" w:space="0" w:color="auto"/>
        <w:left w:val="none" w:sz="0" w:space="0" w:color="auto"/>
        <w:bottom w:val="none" w:sz="0" w:space="0" w:color="auto"/>
        <w:right w:val="none" w:sz="0" w:space="0" w:color="auto"/>
      </w:divBdr>
    </w:div>
    <w:div w:id="869875639">
      <w:bodyDiv w:val="1"/>
      <w:marLeft w:val="0"/>
      <w:marRight w:val="0"/>
      <w:marTop w:val="0"/>
      <w:marBottom w:val="0"/>
      <w:divBdr>
        <w:top w:val="none" w:sz="0" w:space="0" w:color="auto"/>
        <w:left w:val="none" w:sz="0" w:space="0" w:color="auto"/>
        <w:bottom w:val="none" w:sz="0" w:space="0" w:color="auto"/>
        <w:right w:val="none" w:sz="0" w:space="0" w:color="auto"/>
      </w:divBdr>
    </w:div>
    <w:div w:id="1159033215">
      <w:bodyDiv w:val="1"/>
      <w:marLeft w:val="0"/>
      <w:marRight w:val="0"/>
      <w:marTop w:val="0"/>
      <w:marBottom w:val="0"/>
      <w:divBdr>
        <w:top w:val="none" w:sz="0" w:space="0" w:color="auto"/>
        <w:left w:val="none" w:sz="0" w:space="0" w:color="auto"/>
        <w:bottom w:val="none" w:sz="0" w:space="0" w:color="auto"/>
        <w:right w:val="none" w:sz="0" w:space="0" w:color="auto"/>
      </w:divBdr>
    </w:div>
    <w:div w:id="1211650020">
      <w:bodyDiv w:val="1"/>
      <w:marLeft w:val="0"/>
      <w:marRight w:val="0"/>
      <w:marTop w:val="0"/>
      <w:marBottom w:val="0"/>
      <w:divBdr>
        <w:top w:val="none" w:sz="0" w:space="0" w:color="auto"/>
        <w:left w:val="none" w:sz="0" w:space="0" w:color="auto"/>
        <w:bottom w:val="none" w:sz="0" w:space="0" w:color="auto"/>
        <w:right w:val="none" w:sz="0" w:space="0" w:color="auto"/>
      </w:divBdr>
    </w:div>
    <w:div w:id="1269508484">
      <w:bodyDiv w:val="1"/>
      <w:marLeft w:val="0"/>
      <w:marRight w:val="0"/>
      <w:marTop w:val="0"/>
      <w:marBottom w:val="0"/>
      <w:divBdr>
        <w:top w:val="none" w:sz="0" w:space="0" w:color="auto"/>
        <w:left w:val="none" w:sz="0" w:space="0" w:color="auto"/>
        <w:bottom w:val="none" w:sz="0" w:space="0" w:color="auto"/>
        <w:right w:val="none" w:sz="0" w:space="0" w:color="auto"/>
      </w:divBdr>
    </w:div>
    <w:div w:id="1279793455">
      <w:bodyDiv w:val="1"/>
      <w:marLeft w:val="0"/>
      <w:marRight w:val="0"/>
      <w:marTop w:val="0"/>
      <w:marBottom w:val="0"/>
      <w:divBdr>
        <w:top w:val="none" w:sz="0" w:space="0" w:color="auto"/>
        <w:left w:val="none" w:sz="0" w:space="0" w:color="auto"/>
        <w:bottom w:val="none" w:sz="0" w:space="0" w:color="auto"/>
        <w:right w:val="none" w:sz="0" w:space="0" w:color="auto"/>
      </w:divBdr>
    </w:div>
    <w:div w:id="1289892806">
      <w:bodyDiv w:val="1"/>
      <w:marLeft w:val="0"/>
      <w:marRight w:val="0"/>
      <w:marTop w:val="0"/>
      <w:marBottom w:val="0"/>
      <w:divBdr>
        <w:top w:val="none" w:sz="0" w:space="0" w:color="auto"/>
        <w:left w:val="none" w:sz="0" w:space="0" w:color="auto"/>
        <w:bottom w:val="none" w:sz="0" w:space="0" w:color="auto"/>
        <w:right w:val="none" w:sz="0" w:space="0" w:color="auto"/>
      </w:divBdr>
    </w:div>
    <w:div w:id="1301225291">
      <w:bodyDiv w:val="1"/>
      <w:marLeft w:val="0"/>
      <w:marRight w:val="0"/>
      <w:marTop w:val="0"/>
      <w:marBottom w:val="0"/>
      <w:divBdr>
        <w:top w:val="none" w:sz="0" w:space="0" w:color="auto"/>
        <w:left w:val="none" w:sz="0" w:space="0" w:color="auto"/>
        <w:bottom w:val="none" w:sz="0" w:space="0" w:color="auto"/>
        <w:right w:val="none" w:sz="0" w:space="0" w:color="auto"/>
      </w:divBdr>
    </w:div>
    <w:div w:id="1375501989">
      <w:bodyDiv w:val="1"/>
      <w:marLeft w:val="0"/>
      <w:marRight w:val="0"/>
      <w:marTop w:val="0"/>
      <w:marBottom w:val="0"/>
      <w:divBdr>
        <w:top w:val="none" w:sz="0" w:space="0" w:color="auto"/>
        <w:left w:val="none" w:sz="0" w:space="0" w:color="auto"/>
        <w:bottom w:val="none" w:sz="0" w:space="0" w:color="auto"/>
        <w:right w:val="none" w:sz="0" w:space="0" w:color="auto"/>
      </w:divBdr>
    </w:div>
    <w:div w:id="1539854631">
      <w:bodyDiv w:val="1"/>
      <w:marLeft w:val="0"/>
      <w:marRight w:val="0"/>
      <w:marTop w:val="0"/>
      <w:marBottom w:val="0"/>
      <w:divBdr>
        <w:top w:val="none" w:sz="0" w:space="0" w:color="auto"/>
        <w:left w:val="none" w:sz="0" w:space="0" w:color="auto"/>
        <w:bottom w:val="none" w:sz="0" w:space="0" w:color="auto"/>
        <w:right w:val="none" w:sz="0" w:space="0" w:color="auto"/>
      </w:divBdr>
      <w:divsChild>
        <w:div w:id="1291786204">
          <w:marLeft w:val="1800"/>
          <w:marRight w:val="0"/>
          <w:marTop w:val="96"/>
          <w:marBottom w:val="0"/>
          <w:divBdr>
            <w:top w:val="none" w:sz="0" w:space="0" w:color="auto"/>
            <w:left w:val="none" w:sz="0" w:space="0" w:color="auto"/>
            <w:bottom w:val="none" w:sz="0" w:space="0" w:color="auto"/>
            <w:right w:val="none" w:sz="0" w:space="0" w:color="auto"/>
          </w:divBdr>
        </w:div>
      </w:divsChild>
    </w:div>
    <w:div w:id="1566255661">
      <w:bodyDiv w:val="1"/>
      <w:marLeft w:val="0"/>
      <w:marRight w:val="0"/>
      <w:marTop w:val="0"/>
      <w:marBottom w:val="0"/>
      <w:divBdr>
        <w:top w:val="none" w:sz="0" w:space="0" w:color="auto"/>
        <w:left w:val="none" w:sz="0" w:space="0" w:color="auto"/>
        <w:bottom w:val="none" w:sz="0" w:space="0" w:color="auto"/>
        <w:right w:val="none" w:sz="0" w:space="0" w:color="auto"/>
      </w:divBdr>
    </w:div>
    <w:div w:id="1620801621">
      <w:bodyDiv w:val="1"/>
      <w:marLeft w:val="0"/>
      <w:marRight w:val="0"/>
      <w:marTop w:val="0"/>
      <w:marBottom w:val="0"/>
      <w:divBdr>
        <w:top w:val="none" w:sz="0" w:space="0" w:color="auto"/>
        <w:left w:val="none" w:sz="0" w:space="0" w:color="auto"/>
        <w:bottom w:val="none" w:sz="0" w:space="0" w:color="auto"/>
        <w:right w:val="none" w:sz="0" w:space="0" w:color="auto"/>
      </w:divBdr>
    </w:div>
    <w:div w:id="1697384884">
      <w:bodyDiv w:val="1"/>
      <w:marLeft w:val="0"/>
      <w:marRight w:val="0"/>
      <w:marTop w:val="0"/>
      <w:marBottom w:val="0"/>
      <w:divBdr>
        <w:top w:val="none" w:sz="0" w:space="0" w:color="auto"/>
        <w:left w:val="none" w:sz="0" w:space="0" w:color="auto"/>
        <w:bottom w:val="none" w:sz="0" w:space="0" w:color="auto"/>
        <w:right w:val="none" w:sz="0" w:space="0" w:color="auto"/>
      </w:divBdr>
    </w:div>
    <w:div w:id="1758556903">
      <w:bodyDiv w:val="1"/>
      <w:marLeft w:val="0"/>
      <w:marRight w:val="0"/>
      <w:marTop w:val="0"/>
      <w:marBottom w:val="0"/>
      <w:divBdr>
        <w:top w:val="none" w:sz="0" w:space="0" w:color="auto"/>
        <w:left w:val="none" w:sz="0" w:space="0" w:color="auto"/>
        <w:bottom w:val="none" w:sz="0" w:space="0" w:color="auto"/>
        <w:right w:val="none" w:sz="0" w:space="0" w:color="auto"/>
      </w:divBdr>
    </w:div>
    <w:div w:id="1886024321">
      <w:bodyDiv w:val="1"/>
      <w:marLeft w:val="0"/>
      <w:marRight w:val="0"/>
      <w:marTop w:val="0"/>
      <w:marBottom w:val="0"/>
      <w:divBdr>
        <w:top w:val="none" w:sz="0" w:space="0" w:color="auto"/>
        <w:left w:val="none" w:sz="0" w:space="0" w:color="auto"/>
        <w:bottom w:val="none" w:sz="0" w:space="0" w:color="auto"/>
        <w:right w:val="none" w:sz="0" w:space="0" w:color="auto"/>
      </w:divBdr>
    </w:div>
    <w:div w:id="1955166593">
      <w:bodyDiv w:val="1"/>
      <w:marLeft w:val="0"/>
      <w:marRight w:val="0"/>
      <w:marTop w:val="0"/>
      <w:marBottom w:val="0"/>
      <w:divBdr>
        <w:top w:val="none" w:sz="0" w:space="0" w:color="auto"/>
        <w:left w:val="none" w:sz="0" w:space="0" w:color="auto"/>
        <w:bottom w:val="none" w:sz="0" w:space="0" w:color="auto"/>
        <w:right w:val="none" w:sz="0" w:space="0" w:color="auto"/>
      </w:divBdr>
    </w:div>
    <w:div w:id="2101412933">
      <w:bodyDiv w:val="1"/>
      <w:marLeft w:val="0"/>
      <w:marRight w:val="0"/>
      <w:marTop w:val="0"/>
      <w:marBottom w:val="0"/>
      <w:divBdr>
        <w:top w:val="none" w:sz="0" w:space="0" w:color="auto"/>
        <w:left w:val="none" w:sz="0" w:space="0" w:color="auto"/>
        <w:bottom w:val="none" w:sz="0" w:space="0" w:color="auto"/>
        <w:right w:val="none" w:sz="0" w:space="0" w:color="auto"/>
      </w:divBdr>
    </w:div>
    <w:div w:id="2138334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4826-FBBF-44D7-9C0B-27890FCB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9251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Manetti</dc:creator>
  <cp:lastModifiedBy>Luca</cp:lastModifiedBy>
  <cp:revision>2</cp:revision>
  <cp:lastPrinted>2017-01-18T10:10:00Z</cp:lastPrinted>
  <dcterms:created xsi:type="dcterms:W3CDTF">2017-01-18T13:25:00Z</dcterms:created>
  <dcterms:modified xsi:type="dcterms:W3CDTF">2017-01-18T13:25:00Z</dcterms:modified>
</cp:coreProperties>
</file>