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7D60" w14:textId="10622AA1" w:rsidR="00E22BFA" w:rsidRPr="00501CC0" w:rsidRDefault="008D7136" w:rsidP="00E22BFA">
      <w:pPr>
        <w:jc w:val="center"/>
        <w:rPr>
          <w:rFonts w:ascii="Candara" w:hAnsi="Candara"/>
          <w:color w:val="000000" w:themeColor="text1"/>
        </w:rPr>
      </w:pPr>
      <w:r w:rsidRPr="00501CC0">
        <w:rPr>
          <w:rFonts w:ascii="Candara" w:hAnsi="Candara"/>
          <w:color w:val="000000" w:themeColor="text1"/>
        </w:rPr>
        <w:t>Prova scritta</w:t>
      </w:r>
      <w:r w:rsidR="00E22BFA" w:rsidRPr="00501CC0">
        <w:rPr>
          <w:rFonts w:ascii="Candara" w:hAnsi="Candara"/>
          <w:color w:val="000000" w:themeColor="text1"/>
        </w:rPr>
        <w:t xml:space="preserve"> del </w:t>
      </w:r>
      <w:r w:rsidR="00951B2F">
        <w:rPr>
          <w:rFonts w:ascii="Candara" w:hAnsi="Candara"/>
          <w:color w:val="000000" w:themeColor="text1"/>
        </w:rPr>
        <w:t>20/01/2020</w:t>
      </w:r>
    </w:p>
    <w:p w14:paraId="6A0671C9" w14:textId="77777777" w:rsidR="00E22BFA" w:rsidRPr="00501CC0" w:rsidRDefault="007206A4" w:rsidP="007206A4">
      <w:pPr>
        <w:tabs>
          <w:tab w:val="left" w:pos="7387"/>
        </w:tabs>
        <w:jc w:val="both"/>
        <w:rPr>
          <w:rFonts w:ascii="Candara" w:hAnsi="Candara"/>
          <w:color w:val="000000" w:themeColor="text1"/>
        </w:rPr>
      </w:pPr>
      <w:r w:rsidRPr="00501CC0">
        <w:rPr>
          <w:rFonts w:ascii="Candara" w:hAnsi="Candara"/>
          <w:color w:val="000000" w:themeColor="text1"/>
        </w:rPr>
        <w:tab/>
      </w:r>
    </w:p>
    <w:p w14:paraId="2F511E54" w14:textId="1E4C9086" w:rsidR="00E22BFA" w:rsidRPr="00501CC0" w:rsidRDefault="00E22BFA" w:rsidP="00BB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Candara" w:hAnsi="Candara"/>
          <w:b/>
          <w:color w:val="000000" w:themeColor="text1"/>
          <w:sz w:val="24"/>
          <w:szCs w:val="24"/>
        </w:rPr>
      </w:pPr>
      <w:r w:rsidRPr="00501CC0">
        <w:rPr>
          <w:rFonts w:ascii="Candara" w:hAnsi="Candara"/>
          <w:b/>
          <w:color w:val="000000" w:themeColor="text1"/>
          <w:sz w:val="24"/>
          <w:szCs w:val="24"/>
        </w:rPr>
        <w:t>Domande chiuse (ciascuna risposta punti: 2 corretta, 0 assente, -1 errata)</w:t>
      </w:r>
    </w:p>
    <w:p w14:paraId="4538CA76" w14:textId="77777777" w:rsidR="002A6483" w:rsidRPr="00501CC0" w:rsidRDefault="002A6483" w:rsidP="002A6483">
      <w:pPr>
        <w:spacing w:line="240" w:lineRule="exact"/>
        <w:jc w:val="both"/>
        <w:rPr>
          <w:rFonts w:ascii="Candara" w:hAnsi="Candara" w:cs="Arial"/>
          <w:color w:val="000000" w:themeColor="text1"/>
        </w:rPr>
      </w:pPr>
    </w:p>
    <w:p w14:paraId="0241E1C7" w14:textId="77777777" w:rsidR="00225122" w:rsidRDefault="00225122" w:rsidP="00225122">
      <w:pPr>
        <w:ind w:right="-1"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1. Un’impresa acquisisce una partecipazione di controllo e decide di valutarla con il metodo del patrimonio netto. Il minor valore pagato rispetto alla quota parte del netto acquisito può essere dovuto a:</w:t>
      </w:r>
    </w:p>
    <w:p w14:paraId="347F5102" w14:textId="77777777" w:rsidR="00225122" w:rsidRDefault="00225122" w:rsidP="00225122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avviamento </w:t>
      </w:r>
    </w:p>
    <w:p w14:paraId="135378AC" w14:textId="77777777" w:rsidR="00225122" w:rsidRDefault="00225122" w:rsidP="00225122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cattivo affare</w:t>
      </w:r>
    </w:p>
    <w:p w14:paraId="044918C8" w14:textId="77777777" w:rsidR="00225122" w:rsidRDefault="00225122" w:rsidP="00225122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minusvalenze latenti su beni non espresse nel bilancio della controllata</w:t>
      </w:r>
    </w:p>
    <w:p w14:paraId="03487046" w14:textId="77777777" w:rsidR="00225122" w:rsidRDefault="00225122" w:rsidP="00225122">
      <w:pPr>
        <w:pStyle w:val="Paragrafoelenco"/>
        <w:numPr>
          <w:ilvl w:val="0"/>
          <w:numId w:val="26"/>
        </w:numPr>
        <w:spacing w:after="0" w:line="240" w:lineRule="auto"/>
        <w:ind w:right="-1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plusvalenze latenti su beni non espresse nel bilancio della controllata</w:t>
      </w:r>
    </w:p>
    <w:p w14:paraId="0D07E913" w14:textId="77777777" w:rsidR="00225122" w:rsidRDefault="00225122" w:rsidP="00225122">
      <w:pPr>
        <w:jc w:val="both"/>
        <w:rPr>
          <w:rFonts w:ascii="Candara" w:hAnsi="Candara" w:cs="Arial"/>
          <w:color w:val="FF0000"/>
          <w:sz w:val="22"/>
          <w:szCs w:val="22"/>
        </w:rPr>
      </w:pPr>
    </w:p>
    <w:p w14:paraId="038547DD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2. Cosa succede se le rimanenze finali di prodotti finiti sono minori delle rimanenze iniziali?</w:t>
      </w:r>
    </w:p>
    <w:p w14:paraId="2B22981C" w14:textId="77777777" w:rsidR="00225122" w:rsidRDefault="00225122" w:rsidP="00225122">
      <w:pPr>
        <w:pStyle w:val="Corpotesto"/>
        <w:widowControl w:val="0"/>
        <w:numPr>
          <w:ilvl w:val="0"/>
          <w:numId w:val="27"/>
        </w:numPr>
        <w:suppressAutoHyphens/>
        <w:autoSpaceDN w:val="0"/>
        <w:spacing w:before="0"/>
        <w:jc w:val="both"/>
        <w:textAlignment w:val="baseline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diminuisce il valore delle vendite (a1)</w:t>
      </w:r>
    </w:p>
    <w:p w14:paraId="6932228B" w14:textId="77777777" w:rsidR="00225122" w:rsidRDefault="00225122" w:rsidP="00225122">
      <w:pPr>
        <w:pStyle w:val="Corpotesto"/>
        <w:widowControl w:val="0"/>
        <w:numPr>
          <w:ilvl w:val="0"/>
          <w:numId w:val="27"/>
        </w:numPr>
        <w:suppressAutoHyphens/>
        <w:autoSpaceDN w:val="0"/>
        <w:spacing w:before="0"/>
        <w:jc w:val="both"/>
        <w:textAlignment w:val="baseline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diminuisce la macro-classe A (valore della produzione) </w:t>
      </w:r>
    </w:p>
    <w:p w14:paraId="43642688" w14:textId="77777777" w:rsidR="00225122" w:rsidRDefault="00225122" w:rsidP="00225122">
      <w:pPr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diminuisce la macro-classe B (costi della produzione) </w:t>
      </w:r>
    </w:p>
    <w:p w14:paraId="742708CB" w14:textId="77777777" w:rsidR="00225122" w:rsidRDefault="00225122" w:rsidP="00225122">
      <w:pPr>
        <w:numPr>
          <w:ilvl w:val="0"/>
          <w:numId w:val="27"/>
        </w:num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diminuisce il costo degli acquisti (b1)</w:t>
      </w:r>
    </w:p>
    <w:p w14:paraId="18894856" w14:textId="77777777" w:rsidR="00225122" w:rsidRDefault="00225122" w:rsidP="00225122">
      <w:pPr>
        <w:widowControl w:val="0"/>
        <w:autoSpaceDE w:val="0"/>
        <w:autoSpaceDN w:val="0"/>
        <w:adjustRightInd w:val="0"/>
        <w:jc w:val="both"/>
        <w:rPr>
          <w:rFonts w:ascii="Candara" w:eastAsiaTheme="minorEastAsia" w:hAnsi="Candara" w:cs="Arial"/>
          <w:sz w:val="22"/>
          <w:szCs w:val="22"/>
        </w:rPr>
      </w:pPr>
    </w:p>
    <w:p w14:paraId="65A8D6FE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3. Le poste del Conto economico sono classificate per:</w:t>
      </w:r>
    </w:p>
    <w:p w14:paraId="194CC09E" w14:textId="77777777" w:rsidR="00225122" w:rsidRDefault="00225122" w:rsidP="0022512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andara" w:hAnsi="Candara" w:cs="Arial"/>
          <w:bCs/>
          <w:color w:val="000000" w:themeColor="text1"/>
        </w:rPr>
      </w:pPr>
      <w:r>
        <w:rPr>
          <w:rFonts w:ascii="Candara" w:hAnsi="Candara" w:cs="Arial"/>
          <w:bCs/>
          <w:color w:val="000000" w:themeColor="text1"/>
        </w:rPr>
        <w:t>destinazione</w:t>
      </w:r>
    </w:p>
    <w:p w14:paraId="308627EB" w14:textId="77777777" w:rsidR="00225122" w:rsidRDefault="00225122" w:rsidP="0022512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andara" w:hAnsi="Candara" w:cs="Arial"/>
          <w:color w:val="000000" w:themeColor="text1"/>
        </w:rPr>
      </w:pPr>
      <w:r>
        <w:rPr>
          <w:rFonts w:ascii="Candara" w:hAnsi="Candara" w:cs="Arial"/>
          <w:color w:val="000000" w:themeColor="text1"/>
          <w:spacing w:val="-2"/>
        </w:rPr>
        <w:t>esigibilità</w:t>
      </w:r>
    </w:p>
    <w:p w14:paraId="25B636E4" w14:textId="77777777" w:rsidR="00225122" w:rsidRDefault="00225122" w:rsidP="0022512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andara" w:hAnsi="Candara" w:cs="Arial"/>
          <w:b/>
          <w:bCs/>
          <w:color w:val="000000" w:themeColor="text1"/>
        </w:rPr>
      </w:pPr>
      <w:r>
        <w:rPr>
          <w:rFonts w:ascii="Candara" w:hAnsi="Candara" w:cs="Arial"/>
          <w:b/>
          <w:bCs/>
          <w:color w:val="000000" w:themeColor="text1"/>
        </w:rPr>
        <w:t xml:space="preserve">natura </w:t>
      </w:r>
    </w:p>
    <w:p w14:paraId="5A649E78" w14:textId="77777777" w:rsidR="00225122" w:rsidRDefault="00225122" w:rsidP="0022512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Candara" w:hAnsi="Candara" w:cs="Arial"/>
          <w:color w:val="000000" w:themeColor="text1"/>
        </w:rPr>
      </w:pPr>
      <w:r>
        <w:rPr>
          <w:rFonts w:ascii="Candara" w:hAnsi="Candara" w:cs="Arial"/>
          <w:color w:val="000000" w:themeColor="text1"/>
        </w:rPr>
        <w:t>liquidità</w:t>
      </w:r>
    </w:p>
    <w:p w14:paraId="61205309" w14:textId="77777777" w:rsidR="00225122" w:rsidRDefault="00225122" w:rsidP="00225122">
      <w:pPr>
        <w:rPr>
          <w:rFonts w:ascii="Candara" w:hAnsi="Candara" w:cs="Arial"/>
          <w:bCs/>
          <w:color w:val="632423" w:themeColor="accent2" w:themeShade="80"/>
          <w:sz w:val="22"/>
          <w:szCs w:val="22"/>
        </w:rPr>
      </w:pPr>
    </w:p>
    <w:p w14:paraId="301E5A42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4. Un risconto passivo si ha in relazione a: </w:t>
      </w:r>
    </w:p>
    <w:p w14:paraId="17797596" w14:textId="77777777" w:rsidR="00225122" w:rsidRDefault="00225122" w:rsidP="00225122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interessi su crediti riscossi posticipatamente</w:t>
      </w:r>
    </w:p>
    <w:p w14:paraId="29A0CCA4" w14:textId="72F7E2CD" w:rsidR="00225122" w:rsidRDefault="00203957" w:rsidP="00225122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fitti attivi riscossi</w:t>
      </w:r>
      <w:r w:rsidR="00225122">
        <w:rPr>
          <w:rFonts w:ascii="Candara" w:hAnsi="Candara" w:cs="Arial"/>
          <w:b/>
        </w:rPr>
        <w:t xml:space="preserve"> anticipatamente </w:t>
      </w:r>
    </w:p>
    <w:p w14:paraId="18D77E8E" w14:textId="77777777" w:rsidR="00225122" w:rsidRDefault="00225122" w:rsidP="00225122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fitti passivi pagati anticipatamente </w:t>
      </w:r>
    </w:p>
    <w:p w14:paraId="1E1ED24C" w14:textId="77777777" w:rsidR="00225122" w:rsidRDefault="00225122" w:rsidP="00225122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interessi passivi da pagarsi posticipatamente </w:t>
      </w:r>
    </w:p>
    <w:p w14:paraId="1F7676BE" w14:textId="77777777" w:rsidR="00225122" w:rsidRDefault="00225122" w:rsidP="00225122">
      <w:pPr>
        <w:jc w:val="both"/>
        <w:rPr>
          <w:rFonts w:ascii="Candara" w:hAnsi="Candara" w:cs="Arial"/>
          <w:bCs/>
          <w:color w:val="632423" w:themeColor="accent2" w:themeShade="80"/>
          <w:sz w:val="22"/>
          <w:szCs w:val="22"/>
        </w:rPr>
      </w:pPr>
    </w:p>
    <w:p w14:paraId="1EB6154B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5. Qual è un esempio di metodo di valutazione diverso dal costo storico?</w:t>
      </w:r>
    </w:p>
    <w:p w14:paraId="4A5B8F8C" w14:textId="77777777" w:rsidR="00225122" w:rsidRDefault="00225122" w:rsidP="002251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>il lifo</w:t>
      </w:r>
    </w:p>
    <w:p w14:paraId="359EDBA1" w14:textId="77777777" w:rsidR="00225122" w:rsidRDefault="00225122" w:rsidP="002251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>il metodo della percentuale di completamento</w:t>
      </w:r>
    </w:p>
    <w:p w14:paraId="2A5C8D4D" w14:textId="77777777" w:rsidR="00225122" w:rsidRDefault="00225122" w:rsidP="002251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il costo di acquisto</w:t>
      </w:r>
    </w:p>
    <w:p w14:paraId="3BA58655" w14:textId="77777777" w:rsidR="00225122" w:rsidRDefault="00225122" w:rsidP="00225122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il costo di produzione</w:t>
      </w:r>
    </w:p>
    <w:p w14:paraId="581F5008" w14:textId="77777777" w:rsidR="00225122" w:rsidRDefault="00225122" w:rsidP="00225122">
      <w:pPr>
        <w:jc w:val="both"/>
        <w:rPr>
          <w:rFonts w:ascii="Candara" w:hAnsi="Candara" w:cs="Arial"/>
          <w:bCs/>
          <w:color w:val="632423" w:themeColor="accent2" w:themeShade="80"/>
          <w:sz w:val="22"/>
          <w:szCs w:val="22"/>
        </w:rPr>
      </w:pPr>
    </w:p>
    <w:p w14:paraId="444E24FD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6.  Una società provvede a svalutare un’immobilizzazione per 400. Quale tra le seguenti situazioni risulta compatibile con tale svalutazione:</w:t>
      </w:r>
    </w:p>
    <w:p w14:paraId="04EDCED6" w14:textId="58D54298" w:rsidR="00225122" w:rsidRDefault="009F75F5" w:rsidP="00225122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v</w:t>
      </w:r>
      <w:r w:rsidR="00225122">
        <w:rPr>
          <w:rFonts w:ascii="Candara" w:hAnsi="Candara" w:cs="Arial"/>
          <w:spacing w:val="-2"/>
        </w:rPr>
        <w:t>alore contabile 600, valore d’uso 800, valore equo (di mercato) 700</w:t>
      </w:r>
    </w:p>
    <w:p w14:paraId="3224A1D0" w14:textId="6B937073" w:rsidR="00225122" w:rsidRDefault="009F75F5" w:rsidP="00225122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  <w:spacing w:val="-2"/>
        </w:rPr>
        <w:t>v</w:t>
      </w:r>
      <w:r w:rsidR="00225122">
        <w:rPr>
          <w:rFonts w:ascii="Candara" w:hAnsi="Candara" w:cs="Arial"/>
          <w:b/>
          <w:spacing w:val="-2"/>
        </w:rPr>
        <w:t>alore contabile 1.000, valore d’uso 100, valore equo (di mercato) 600</w:t>
      </w:r>
    </w:p>
    <w:p w14:paraId="426079A3" w14:textId="6B09FF8A" w:rsidR="00225122" w:rsidRDefault="009F75F5" w:rsidP="00225122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va</w:t>
      </w:r>
      <w:r w:rsidR="00225122">
        <w:rPr>
          <w:rFonts w:ascii="Candara" w:hAnsi="Candara" w:cs="Arial"/>
          <w:spacing w:val="-2"/>
        </w:rPr>
        <w:t>lore contabile 800, valore d’uso 900, valore equo (di mercato) 1.000</w:t>
      </w:r>
    </w:p>
    <w:p w14:paraId="0A272A39" w14:textId="04B1F68E" w:rsidR="00225122" w:rsidRDefault="009F75F5" w:rsidP="00225122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v</w:t>
      </w:r>
      <w:r w:rsidR="00225122">
        <w:rPr>
          <w:rFonts w:ascii="Candara" w:hAnsi="Candara" w:cs="Arial"/>
          <w:spacing w:val="-2"/>
        </w:rPr>
        <w:t>alore contabile 900, valore d’uso 900, valore equo (di mercato) 800</w:t>
      </w:r>
    </w:p>
    <w:p w14:paraId="1B8B958A" w14:textId="77777777" w:rsidR="00225122" w:rsidRDefault="00225122" w:rsidP="00225122">
      <w:pPr>
        <w:pStyle w:val="Paragrafoelenco"/>
        <w:spacing w:after="0" w:line="240" w:lineRule="auto"/>
        <w:jc w:val="both"/>
        <w:rPr>
          <w:rFonts w:ascii="Candara" w:hAnsi="Candara" w:cs="Arial"/>
        </w:rPr>
      </w:pPr>
    </w:p>
    <w:p w14:paraId="54F497E3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7. Nella composizione del rendiconto finanziario, quale tra le seguenti operazioni è da classificare come “impiego finanziario”: </w:t>
      </w:r>
    </w:p>
    <w:p w14:paraId="4673C79D" w14:textId="77777777" w:rsidR="00225122" w:rsidRDefault="00225122" w:rsidP="00225122">
      <w:pPr>
        <w:pStyle w:val="Paragrafoelenco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>utilizzo di un fondo spese future</w:t>
      </w:r>
    </w:p>
    <w:p w14:paraId="62BDBE4E" w14:textId="77777777" w:rsidR="00225122" w:rsidRDefault="00225122" w:rsidP="00225122">
      <w:pPr>
        <w:pStyle w:val="Paragrafoelenco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>riduzione dei crediti finanziari</w:t>
      </w:r>
    </w:p>
    <w:p w14:paraId="243AA23C" w14:textId="77777777" w:rsidR="00225122" w:rsidRDefault="00225122" w:rsidP="00225122">
      <w:pPr>
        <w:pStyle w:val="Paragrafoelenco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b/>
          <w:spacing w:val="-2"/>
        </w:rPr>
      </w:pPr>
      <w:r>
        <w:rPr>
          <w:rFonts w:ascii="Candara" w:hAnsi="Candara" w:cs="Arial"/>
          <w:b/>
          <w:spacing w:val="-2"/>
        </w:rPr>
        <w:t xml:space="preserve">rimborso di patrimonio netto </w:t>
      </w:r>
    </w:p>
    <w:p w14:paraId="786EA0D9" w14:textId="77777777" w:rsidR="00225122" w:rsidRDefault="00225122" w:rsidP="00225122">
      <w:pPr>
        <w:pStyle w:val="Paragrafoelenco"/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>incremento dei debiti finanziari</w:t>
      </w:r>
    </w:p>
    <w:p w14:paraId="471DA8DB" w14:textId="77777777" w:rsidR="00225122" w:rsidRDefault="00225122" w:rsidP="00225122">
      <w:pPr>
        <w:rPr>
          <w:rFonts w:ascii="Candara" w:hAnsi="Candara" w:cs="Arial"/>
          <w:bCs/>
          <w:color w:val="632423" w:themeColor="accent2" w:themeShade="80"/>
          <w:sz w:val="22"/>
          <w:szCs w:val="22"/>
        </w:rPr>
      </w:pPr>
      <w:r>
        <w:rPr>
          <w:rFonts w:ascii="Candara" w:hAnsi="Candara" w:cs="Arial"/>
          <w:bCs/>
          <w:color w:val="632423" w:themeColor="accent2" w:themeShade="80"/>
          <w:sz w:val="22"/>
          <w:szCs w:val="22"/>
        </w:rPr>
        <w:br w:type="page"/>
      </w:r>
    </w:p>
    <w:p w14:paraId="57E3B57F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lastRenderedPageBreak/>
        <w:t>8.  Quale metodo di contabilizzazione del leasing finanziario determina costi d’esercizio maggiormente uniformi lungo la vita utile del bene?</w:t>
      </w:r>
    </w:p>
    <w:p w14:paraId="55B69E1B" w14:textId="606CAB38" w:rsidR="00225122" w:rsidRDefault="009F75F5" w:rsidP="00225122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m</w:t>
      </w:r>
      <w:r w:rsidR="00225122">
        <w:rPr>
          <w:rFonts w:ascii="Candara" w:hAnsi="Candara" w:cs="Arial"/>
          <w:spacing w:val="-2"/>
        </w:rPr>
        <w:t>etodo del costo ammortizzato</w:t>
      </w:r>
    </w:p>
    <w:p w14:paraId="59DC4AE6" w14:textId="4E0FEABB" w:rsidR="00225122" w:rsidRDefault="009F75F5" w:rsidP="00225122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m</w:t>
      </w:r>
      <w:r w:rsidR="00225122">
        <w:rPr>
          <w:rFonts w:ascii="Candara" w:hAnsi="Candara" w:cs="Arial"/>
          <w:spacing w:val="-2"/>
        </w:rPr>
        <w:t xml:space="preserve">etodo patrimoniale </w:t>
      </w:r>
    </w:p>
    <w:p w14:paraId="73323244" w14:textId="6642D173" w:rsidR="00225122" w:rsidRDefault="009F75F5" w:rsidP="00225122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m</w:t>
      </w:r>
      <w:r w:rsidR="00225122">
        <w:rPr>
          <w:rFonts w:ascii="Candara" w:hAnsi="Candara" w:cs="Arial"/>
          <w:spacing w:val="-2"/>
        </w:rPr>
        <w:t>etodo del contratto completato</w:t>
      </w:r>
    </w:p>
    <w:p w14:paraId="67BF5D4D" w14:textId="6386C199" w:rsidR="00225122" w:rsidRDefault="009F75F5" w:rsidP="00225122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  <w:spacing w:val="-2"/>
        </w:rPr>
        <w:t>m</w:t>
      </w:r>
      <w:r w:rsidR="00225122">
        <w:rPr>
          <w:rFonts w:ascii="Candara" w:hAnsi="Candara" w:cs="Arial"/>
          <w:b/>
          <w:spacing w:val="-2"/>
        </w:rPr>
        <w:t>etodo finanziario</w:t>
      </w:r>
    </w:p>
    <w:p w14:paraId="336B43E4" w14:textId="77777777" w:rsidR="00225122" w:rsidRDefault="00225122" w:rsidP="00225122">
      <w:pPr>
        <w:rPr>
          <w:rFonts w:ascii="Candara" w:hAnsi="Candara" w:cs="Arial"/>
          <w:bCs/>
          <w:color w:val="632423" w:themeColor="accent2" w:themeShade="80"/>
          <w:sz w:val="22"/>
          <w:szCs w:val="22"/>
        </w:rPr>
      </w:pPr>
    </w:p>
    <w:p w14:paraId="35185167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9. L’aliquota IRES attualmente in vigore è:</w:t>
      </w:r>
    </w:p>
    <w:p w14:paraId="00F7B284" w14:textId="77777777" w:rsidR="00225122" w:rsidRDefault="00225122" w:rsidP="00225122">
      <w:pPr>
        <w:numPr>
          <w:ilvl w:val="0"/>
          <w:numId w:val="34"/>
        </w:numPr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  <w:r>
        <w:rPr>
          <w:rFonts w:ascii="Candara" w:hAnsi="Candara" w:cs="Arial"/>
          <w:color w:val="000000" w:themeColor="text1"/>
          <w:spacing w:val="-2"/>
          <w:sz w:val="22"/>
          <w:szCs w:val="22"/>
        </w:rPr>
        <w:t>22%</w:t>
      </w:r>
    </w:p>
    <w:p w14:paraId="39881A1E" w14:textId="77777777" w:rsidR="00225122" w:rsidRDefault="00225122" w:rsidP="00225122">
      <w:pPr>
        <w:numPr>
          <w:ilvl w:val="0"/>
          <w:numId w:val="34"/>
        </w:numPr>
        <w:jc w:val="both"/>
        <w:rPr>
          <w:rFonts w:ascii="Candara" w:hAnsi="Candara" w:cs="Arial"/>
          <w:b/>
          <w:color w:val="000000" w:themeColor="text1"/>
          <w:spacing w:val="-2"/>
          <w:sz w:val="22"/>
          <w:szCs w:val="22"/>
        </w:rPr>
      </w:pPr>
      <w:r>
        <w:rPr>
          <w:rFonts w:ascii="Candara" w:hAnsi="Candara" w:cs="Arial"/>
          <w:b/>
          <w:color w:val="000000" w:themeColor="text1"/>
          <w:spacing w:val="-2"/>
          <w:sz w:val="22"/>
          <w:szCs w:val="22"/>
        </w:rPr>
        <w:t>24%</w:t>
      </w:r>
    </w:p>
    <w:p w14:paraId="355EB22A" w14:textId="77777777" w:rsidR="00225122" w:rsidRDefault="00225122" w:rsidP="00225122">
      <w:pPr>
        <w:numPr>
          <w:ilvl w:val="0"/>
          <w:numId w:val="34"/>
        </w:numPr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  <w:r>
        <w:rPr>
          <w:rFonts w:ascii="Candara" w:hAnsi="Candara" w:cs="Arial"/>
          <w:color w:val="000000" w:themeColor="text1"/>
          <w:spacing w:val="-2"/>
          <w:sz w:val="22"/>
          <w:szCs w:val="22"/>
        </w:rPr>
        <w:t>36%</w:t>
      </w:r>
    </w:p>
    <w:p w14:paraId="0CE5BC38" w14:textId="77777777" w:rsidR="00225122" w:rsidRDefault="00225122" w:rsidP="00225122">
      <w:pPr>
        <w:numPr>
          <w:ilvl w:val="0"/>
          <w:numId w:val="34"/>
        </w:numPr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  <w:r>
        <w:rPr>
          <w:rFonts w:ascii="Candara" w:hAnsi="Candara" w:cs="Arial"/>
          <w:color w:val="000000" w:themeColor="text1"/>
          <w:spacing w:val="-2"/>
          <w:sz w:val="22"/>
          <w:szCs w:val="22"/>
        </w:rPr>
        <w:t>40%</w:t>
      </w:r>
    </w:p>
    <w:p w14:paraId="64726458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</w:p>
    <w:p w14:paraId="1380600F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10. Un debito verso un fornitore estero viene contratto in Yen e al termine dell’esercizio lo Yen risulta svalutato in confronto al cambio storico. Si dovrà:</w:t>
      </w:r>
    </w:p>
    <w:p w14:paraId="3EF1DBFE" w14:textId="77777777" w:rsidR="00225122" w:rsidRDefault="00225122" w:rsidP="00225122">
      <w:pPr>
        <w:pStyle w:val="Corpotesto"/>
        <w:numPr>
          <w:ilvl w:val="0"/>
          <w:numId w:val="35"/>
        </w:numPr>
        <w:spacing w:before="0" w:line="240" w:lineRule="exact"/>
        <w:ind w:left="709" w:hanging="283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rilevare a conto economico la perdita su cambi</w:t>
      </w:r>
    </w:p>
    <w:p w14:paraId="5F91701F" w14:textId="77777777" w:rsidR="00225122" w:rsidRDefault="00225122" w:rsidP="00225122">
      <w:pPr>
        <w:pStyle w:val="Corpotesto"/>
        <w:numPr>
          <w:ilvl w:val="0"/>
          <w:numId w:val="35"/>
        </w:numPr>
        <w:spacing w:before="0" w:line="240" w:lineRule="exact"/>
        <w:ind w:left="709" w:hanging="283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rilevare a conto economico l’utile su cambi</w:t>
      </w:r>
    </w:p>
    <w:p w14:paraId="69872EB9" w14:textId="77777777" w:rsidR="00225122" w:rsidRDefault="00225122" w:rsidP="00225122">
      <w:pPr>
        <w:pStyle w:val="Corpotesto"/>
        <w:numPr>
          <w:ilvl w:val="0"/>
          <w:numId w:val="35"/>
        </w:numPr>
        <w:spacing w:before="0" w:line="240" w:lineRule="exact"/>
        <w:ind w:left="709" w:hanging="283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ridurre la riserva su cambi</w:t>
      </w:r>
    </w:p>
    <w:p w14:paraId="02186AC5" w14:textId="77777777" w:rsidR="00225122" w:rsidRDefault="00225122" w:rsidP="00225122">
      <w:pPr>
        <w:pStyle w:val="Corpotesto"/>
        <w:numPr>
          <w:ilvl w:val="0"/>
          <w:numId w:val="35"/>
        </w:numPr>
        <w:spacing w:before="0" w:line="240" w:lineRule="exact"/>
        <w:ind w:left="709" w:hanging="283"/>
        <w:rPr>
          <w:rFonts w:ascii="Candara" w:hAnsi="Candara" w:cs="Arial"/>
          <w:bCs/>
          <w:sz w:val="22"/>
          <w:szCs w:val="22"/>
        </w:rPr>
      </w:pPr>
      <w:r>
        <w:rPr>
          <w:rFonts w:ascii="Candara" w:hAnsi="Candara" w:cs="Arial"/>
          <w:bCs/>
          <w:sz w:val="22"/>
          <w:szCs w:val="22"/>
        </w:rPr>
        <w:t>nessuna delle risposte precedenti è corretta</w:t>
      </w:r>
    </w:p>
    <w:p w14:paraId="7DC4A8D5" w14:textId="77777777" w:rsidR="00225122" w:rsidRDefault="00225122" w:rsidP="00225122">
      <w:pPr>
        <w:spacing w:line="240" w:lineRule="exact"/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7C8DE618" w14:textId="4E09307D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11 i costi di manutenzione ordinaria inseriti nel conto economico, </w:t>
      </w:r>
      <w:proofErr w:type="spellStart"/>
      <w:r>
        <w:rPr>
          <w:rFonts w:ascii="Candara" w:hAnsi="Candara" w:cs="Arial"/>
          <w:sz w:val="22"/>
          <w:szCs w:val="22"/>
        </w:rPr>
        <w:t>civilisticamente</w:t>
      </w:r>
      <w:proofErr w:type="spellEnd"/>
      <w:r w:rsidR="009F75F5">
        <w:rPr>
          <w:rFonts w:ascii="Candara" w:hAnsi="Candara" w:cs="Arial"/>
          <w:sz w:val="22"/>
          <w:szCs w:val="22"/>
        </w:rPr>
        <w:t xml:space="preserve"> sono</w:t>
      </w:r>
      <w:r>
        <w:rPr>
          <w:rFonts w:ascii="Candara" w:hAnsi="Candara" w:cs="Arial"/>
          <w:sz w:val="22"/>
          <w:szCs w:val="22"/>
        </w:rPr>
        <w:t>:</w:t>
      </w:r>
    </w:p>
    <w:p w14:paraId="6AC11B15" w14:textId="7DC0D8D6" w:rsidR="00225122" w:rsidRDefault="00225122" w:rsidP="0022512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considerati di competenza nella misura del 5% del valore degli stessi</w:t>
      </w:r>
    </w:p>
    <w:p w14:paraId="0D38D1EB" w14:textId="72CE0501" w:rsidR="00225122" w:rsidRDefault="00225122" w:rsidP="0022512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interamente considerati di competenza</w:t>
      </w:r>
    </w:p>
    <w:p w14:paraId="57D9DD51" w14:textId="6CA8B530" w:rsidR="00225122" w:rsidRDefault="00225122" w:rsidP="0022512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considerati di competenza nella misura del 5% del valore complessivo dei beni ammortizzabili</w:t>
      </w:r>
    </w:p>
    <w:p w14:paraId="5C0C4810" w14:textId="450E3030" w:rsidR="00225122" w:rsidRDefault="00225122" w:rsidP="0022512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da capitalizzare aggiungendoli al costo dei beni ammortizzabili</w:t>
      </w:r>
    </w:p>
    <w:p w14:paraId="5E356D45" w14:textId="77777777" w:rsidR="00225122" w:rsidRDefault="00225122" w:rsidP="00225122">
      <w:pPr>
        <w:spacing w:line="240" w:lineRule="exact"/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42ADD9A4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12.  Si ha una perdita durevole di valore di una immobilizzazione quando:</w:t>
      </w:r>
    </w:p>
    <w:p w14:paraId="22833FCC" w14:textId="258C6F23" w:rsidR="00225122" w:rsidRDefault="009F75F5" w:rsidP="00225122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i</w:t>
      </w:r>
      <w:r w:rsidR="00225122">
        <w:rPr>
          <w:rFonts w:ascii="Candara" w:hAnsi="Candara" w:cs="Arial"/>
          <w:spacing w:val="-2"/>
        </w:rPr>
        <w:t>l valore recuperabile è superiore al valore netto contabile</w:t>
      </w:r>
    </w:p>
    <w:p w14:paraId="20333912" w14:textId="1941C8AF" w:rsidR="00225122" w:rsidRDefault="009F75F5" w:rsidP="00225122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  <w:spacing w:val="-2"/>
        </w:rPr>
        <w:t>i</w:t>
      </w:r>
      <w:r w:rsidR="00225122">
        <w:rPr>
          <w:rFonts w:ascii="Candara" w:hAnsi="Candara" w:cs="Arial"/>
          <w:b/>
          <w:spacing w:val="-2"/>
        </w:rPr>
        <w:t>l valore recuperabile è inferiore al valore netto contabile</w:t>
      </w:r>
    </w:p>
    <w:p w14:paraId="682137B6" w14:textId="628AF287" w:rsidR="00225122" w:rsidRDefault="009F75F5" w:rsidP="00225122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i</w:t>
      </w:r>
      <w:r w:rsidR="00225122">
        <w:rPr>
          <w:rFonts w:ascii="Candara" w:hAnsi="Candara" w:cs="Arial"/>
          <w:spacing w:val="-2"/>
        </w:rPr>
        <w:t>l valore netto contabile è superiore al valore equo (di mercato)</w:t>
      </w:r>
    </w:p>
    <w:p w14:paraId="5D632897" w14:textId="296E131C" w:rsidR="00225122" w:rsidRDefault="009F75F5" w:rsidP="00225122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i</w:t>
      </w:r>
      <w:r w:rsidR="00225122">
        <w:rPr>
          <w:rFonts w:ascii="Candara" w:hAnsi="Candara" w:cs="Arial"/>
          <w:spacing w:val="-2"/>
        </w:rPr>
        <w:t>l valore netto contabile è inferiore al valore equo (di mercato) ma superiore al valore d’uso</w:t>
      </w:r>
    </w:p>
    <w:p w14:paraId="40192324" w14:textId="77777777" w:rsidR="00225122" w:rsidRDefault="00225122" w:rsidP="00225122">
      <w:pPr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1F65E057" w14:textId="3A8D0C2F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13. Secondo l’art. 2423</w:t>
      </w:r>
      <w:r w:rsidR="00203957">
        <w:rPr>
          <w:rFonts w:ascii="Candara" w:hAnsi="Candara" w:cs="Arial"/>
          <w:sz w:val="22"/>
          <w:szCs w:val="22"/>
        </w:rPr>
        <w:t>-ter</w:t>
      </w:r>
      <w:r>
        <w:rPr>
          <w:rFonts w:ascii="Candara" w:hAnsi="Candara" w:cs="Arial"/>
          <w:sz w:val="22"/>
          <w:szCs w:val="22"/>
        </w:rPr>
        <w:t xml:space="preserve"> è possibile modificare gli schemi di bilancio ad iniziare dal livello di:</w:t>
      </w:r>
    </w:p>
    <w:p w14:paraId="225C2F4A" w14:textId="461FFB79" w:rsidR="00225122" w:rsidRDefault="009F75F5" w:rsidP="0022512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Candara" w:hAnsi="Candara" w:cs="Arial"/>
        </w:rPr>
      </w:pPr>
      <w:proofErr w:type="spellStart"/>
      <w:r>
        <w:rPr>
          <w:rFonts w:ascii="Candara" w:hAnsi="Candara" w:cs="Arial"/>
          <w:spacing w:val="-2"/>
        </w:rPr>
        <w:t>m</w:t>
      </w:r>
      <w:r w:rsidR="00225122">
        <w:rPr>
          <w:rFonts w:ascii="Candara" w:hAnsi="Candara" w:cs="Arial"/>
          <w:spacing w:val="-2"/>
        </w:rPr>
        <w:t>acroclasse</w:t>
      </w:r>
      <w:proofErr w:type="spellEnd"/>
      <w:r w:rsidR="00225122">
        <w:rPr>
          <w:rFonts w:ascii="Candara" w:hAnsi="Candara" w:cs="Arial"/>
          <w:spacing w:val="-2"/>
        </w:rPr>
        <w:t xml:space="preserve"> (lettere maiuscole)</w:t>
      </w:r>
    </w:p>
    <w:p w14:paraId="458F00E0" w14:textId="422BCB6A" w:rsidR="00225122" w:rsidRDefault="009F75F5" w:rsidP="0022512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cl</w:t>
      </w:r>
      <w:r w:rsidR="00225122">
        <w:rPr>
          <w:rFonts w:ascii="Candara" w:hAnsi="Candara" w:cs="Arial"/>
          <w:spacing w:val="-2"/>
        </w:rPr>
        <w:t>asse (numeri romani)</w:t>
      </w:r>
    </w:p>
    <w:p w14:paraId="1A2166CC" w14:textId="1B251F9C" w:rsidR="00225122" w:rsidRDefault="009F75F5" w:rsidP="0022512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  <w:spacing w:val="-2"/>
        </w:rPr>
        <w:t>v</w:t>
      </w:r>
      <w:r w:rsidR="00225122">
        <w:rPr>
          <w:rFonts w:ascii="Candara" w:hAnsi="Candara" w:cs="Arial"/>
          <w:b/>
          <w:spacing w:val="-2"/>
        </w:rPr>
        <w:t>oce (numeri arabi)</w:t>
      </w:r>
    </w:p>
    <w:p w14:paraId="0E715649" w14:textId="07AA6EE1" w:rsidR="00225122" w:rsidRDefault="009F75F5" w:rsidP="0022512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spacing w:val="-2"/>
        </w:rPr>
        <w:t>s</w:t>
      </w:r>
      <w:r w:rsidR="00225122">
        <w:rPr>
          <w:rFonts w:ascii="Candara" w:hAnsi="Candara" w:cs="Arial"/>
          <w:spacing w:val="-2"/>
        </w:rPr>
        <w:t>ottovoce (lettere minuscole)</w:t>
      </w:r>
    </w:p>
    <w:p w14:paraId="2D07EE83" w14:textId="77777777" w:rsidR="00225122" w:rsidRDefault="00225122" w:rsidP="00225122">
      <w:pPr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2455CFB7" w14:textId="77777777" w:rsidR="00225122" w:rsidRDefault="00225122" w:rsidP="00225122">
      <w:pPr>
        <w:suppressAutoHyphens/>
        <w:autoSpaceDN w:val="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 xml:space="preserve">14. Quali dei seguenti non </w:t>
      </w:r>
      <w:r>
        <w:rPr>
          <w:rFonts w:ascii="Candara" w:hAnsi="Candara"/>
          <w:bCs/>
          <w:sz w:val="22"/>
          <w:szCs w:val="22"/>
          <w:u w:val="single"/>
        </w:rPr>
        <w:t>è</w:t>
      </w:r>
      <w:r>
        <w:rPr>
          <w:rFonts w:ascii="Candara" w:hAnsi="Candara"/>
          <w:bCs/>
          <w:sz w:val="22"/>
          <w:szCs w:val="22"/>
        </w:rPr>
        <w:t xml:space="preserve"> un parametro definito dall’art. 2435 bis per la redazione del bilancio in forma abbreviata?</w:t>
      </w:r>
    </w:p>
    <w:p w14:paraId="0B0E54D5" w14:textId="3458195F" w:rsidR="00225122" w:rsidRDefault="00203957" w:rsidP="00225122">
      <w:pPr>
        <w:pStyle w:val="Paragrafoelenco"/>
        <w:numPr>
          <w:ilvl w:val="0"/>
          <w:numId w:val="39"/>
        </w:numPr>
        <w:suppressAutoHyphens/>
        <w:autoSpaceDN w:val="0"/>
        <w:spacing w:after="0" w:line="24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n</w:t>
      </w:r>
      <w:r w:rsidR="00225122">
        <w:rPr>
          <w:rFonts w:ascii="Candara" w:hAnsi="Candara"/>
          <w:bCs/>
        </w:rPr>
        <w:t>umero di dipendenti medi nell’esercizio</w:t>
      </w:r>
    </w:p>
    <w:p w14:paraId="3FD92F71" w14:textId="5A7B7D19" w:rsidR="00225122" w:rsidRDefault="00203957" w:rsidP="00225122">
      <w:pPr>
        <w:pStyle w:val="Paragrafoelenco"/>
        <w:numPr>
          <w:ilvl w:val="0"/>
          <w:numId w:val="39"/>
        </w:numPr>
        <w:suppressAutoHyphens/>
        <w:autoSpaceDN w:val="0"/>
        <w:spacing w:after="0" w:line="24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t</w:t>
      </w:r>
      <w:r w:rsidR="00225122">
        <w:rPr>
          <w:rFonts w:ascii="Candara" w:hAnsi="Candara"/>
          <w:bCs/>
        </w:rPr>
        <w:t>otale dell’attivo dello stato patrimoniale</w:t>
      </w:r>
    </w:p>
    <w:p w14:paraId="09FDE782" w14:textId="012C0627" w:rsidR="00225122" w:rsidRDefault="00203957" w:rsidP="00225122">
      <w:pPr>
        <w:pStyle w:val="Paragrafoelenco"/>
        <w:numPr>
          <w:ilvl w:val="0"/>
          <w:numId w:val="39"/>
        </w:numPr>
        <w:suppressAutoHyphens/>
        <w:autoSpaceDN w:val="0"/>
        <w:spacing w:after="0"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</w:t>
      </w:r>
      <w:r w:rsidR="00225122">
        <w:rPr>
          <w:rFonts w:ascii="Candara" w:hAnsi="Candara"/>
          <w:b/>
          <w:bCs/>
        </w:rPr>
        <w:t>mmontare degli utili</w:t>
      </w:r>
    </w:p>
    <w:p w14:paraId="6CA71774" w14:textId="037C1329" w:rsidR="00225122" w:rsidRDefault="00203957" w:rsidP="00225122">
      <w:pPr>
        <w:pStyle w:val="Paragrafoelenco"/>
        <w:numPr>
          <w:ilvl w:val="0"/>
          <w:numId w:val="39"/>
        </w:numPr>
        <w:suppressAutoHyphens/>
        <w:autoSpaceDN w:val="0"/>
        <w:spacing w:after="0" w:line="24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t</w:t>
      </w:r>
      <w:r w:rsidR="00225122">
        <w:rPr>
          <w:rFonts w:ascii="Candara" w:hAnsi="Candara"/>
          <w:bCs/>
        </w:rPr>
        <w:t>otale delle vendite e delle prestazioni</w:t>
      </w:r>
    </w:p>
    <w:p w14:paraId="613BA3F1" w14:textId="77777777" w:rsidR="00225122" w:rsidRDefault="00225122" w:rsidP="00225122">
      <w:pPr>
        <w:jc w:val="both"/>
        <w:rPr>
          <w:rFonts w:ascii="Candara" w:hAnsi="Candara"/>
          <w:sz w:val="22"/>
          <w:szCs w:val="22"/>
        </w:rPr>
      </w:pPr>
    </w:p>
    <w:p w14:paraId="480D367B" w14:textId="77777777" w:rsidR="00225122" w:rsidRDefault="00225122" w:rsidP="0022512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15. Qualora un’azienda, a causa di ingenti investimenti a lungo termine e ritardi nei pagamenti dei propri clienti, si trovasse in difficoltà a pagare gli stipendi ai propri lavoratori, in prima approssimazione potremmo affermare che questa ha una difficile:</w:t>
      </w:r>
    </w:p>
    <w:p w14:paraId="3DEFF609" w14:textId="77777777" w:rsidR="00225122" w:rsidRDefault="00225122" w:rsidP="00225122">
      <w:pPr>
        <w:pStyle w:val="Paragrafoelenco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>situazione economica</w:t>
      </w:r>
    </w:p>
    <w:p w14:paraId="39BE7995" w14:textId="77777777" w:rsidR="00225122" w:rsidRDefault="00225122" w:rsidP="00225122">
      <w:pPr>
        <w:pStyle w:val="Paragrafoelenco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 xml:space="preserve">situazione patrimoniale </w:t>
      </w:r>
    </w:p>
    <w:p w14:paraId="5B4B1973" w14:textId="77777777" w:rsidR="00225122" w:rsidRDefault="00225122" w:rsidP="00225122">
      <w:pPr>
        <w:pStyle w:val="Paragrafoelenco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b/>
          <w:spacing w:val="-2"/>
        </w:rPr>
      </w:pPr>
      <w:r>
        <w:rPr>
          <w:rFonts w:ascii="Candara" w:hAnsi="Candara" w:cs="Arial"/>
          <w:b/>
          <w:spacing w:val="-2"/>
        </w:rPr>
        <w:t>situazione finanziaria</w:t>
      </w:r>
    </w:p>
    <w:p w14:paraId="6B1C4630" w14:textId="77777777" w:rsidR="00225122" w:rsidRDefault="00225122" w:rsidP="00225122">
      <w:pPr>
        <w:pStyle w:val="Paragrafoelenco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 w:cs="Arial"/>
          <w:spacing w:val="-2"/>
        </w:rPr>
      </w:pPr>
      <w:r>
        <w:rPr>
          <w:rFonts w:ascii="Candara" w:hAnsi="Candara" w:cs="Arial"/>
          <w:spacing w:val="-2"/>
        </w:rPr>
        <w:t>situazione contabile</w:t>
      </w:r>
    </w:p>
    <w:p w14:paraId="36BD917B" w14:textId="77777777" w:rsidR="00225122" w:rsidRDefault="00225122" w:rsidP="00225122">
      <w:pPr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2182E0D8" w14:textId="77777777" w:rsidR="00225122" w:rsidRDefault="00225122" w:rsidP="00225122">
      <w:pPr>
        <w:pStyle w:val="Corpotesto"/>
        <w:spacing w:before="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lastRenderedPageBreak/>
        <w:t>16. Secondo i principi contabili OIC nelle costruzioni in economia abituali non sono capitalizzabili i seguenti elementi:</w:t>
      </w:r>
    </w:p>
    <w:p w14:paraId="34F88B0C" w14:textId="6AAF6FCB" w:rsidR="00225122" w:rsidRDefault="00203957" w:rsidP="00225122">
      <w:pPr>
        <w:pStyle w:val="Corpotesto"/>
        <w:numPr>
          <w:ilvl w:val="0"/>
          <w:numId w:val="41"/>
        </w:numPr>
        <w:spacing w:before="0"/>
        <w:contextualSpacing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l</w:t>
      </w:r>
      <w:r w:rsidR="00225122">
        <w:rPr>
          <w:rFonts w:ascii="Candara" w:hAnsi="Candara"/>
          <w:bCs/>
          <w:sz w:val="22"/>
          <w:szCs w:val="22"/>
        </w:rPr>
        <w:t>e spese generali di fabbricazione per la quota parte</w:t>
      </w:r>
    </w:p>
    <w:p w14:paraId="3DFB1743" w14:textId="557832C5" w:rsidR="00225122" w:rsidRDefault="00203957" w:rsidP="00225122">
      <w:pPr>
        <w:pStyle w:val="Corpotesto"/>
        <w:numPr>
          <w:ilvl w:val="0"/>
          <w:numId w:val="41"/>
        </w:numPr>
        <w:spacing w:before="0"/>
        <w:contextualSpacing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i</w:t>
      </w:r>
      <w:r w:rsidR="00225122">
        <w:rPr>
          <w:rFonts w:ascii="Candara" w:hAnsi="Candara"/>
          <w:bCs/>
          <w:sz w:val="22"/>
          <w:szCs w:val="22"/>
        </w:rPr>
        <w:t xml:space="preserve"> costi diretti di manodopera e materie prime</w:t>
      </w:r>
    </w:p>
    <w:p w14:paraId="64B83F40" w14:textId="78F196EA" w:rsidR="00225122" w:rsidRDefault="00203957" w:rsidP="00225122">
      <w:pPr>
        <w:pStyle w:val="Corpotesto"/>
        <w:numPr>
          <w:ilvl w:val="0"/>
          <w:numId w:val="41"/>
        </w:numPr>
        <w:spacing w:before="0"/>
        <w:contextualSpacing/>
        <w:jc w:val="both"/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c</w:t>
      </w:r>
      <w:r w:rsidR="00225122">
        <w:rPr>
          <w:rFonts w:ascii="Candara" w:hAnsi="Candara"/>
          <w:b/>
          <w:bCs/>
          <w:sz w:val="22"/>
          <w:szCs w:val="22"/>
        </w:rPr>
        <w:t>osti per inefficienze</w:t>
      </w:r>
    </w:p>
    <w:p w14:paraId="0B5F7942" w14:textId="0EB28606" w:rsidR="00225122" w:rsidRDefault="00203957" w:rsidP="00225122">
      <w:pPr>
        <w:pStyle w:val="Corpotesto"/>
        <w:numPr>
          <w:ilvl w:val="0"/>
          <w:numId w:val="41"/>
        </w:numPr>
        <w:spacing w:before="0"/>
        <w:contextualSpacing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g</w:t>
      </w:r>
      <w:r w:rsidR="00225122">
        <w:rPr>
          <w:rFonts w:ascii="Candara" w:hAnsi="Candara"/>
          <w:bCs/>
          <w:sz w:val="22"/>
          <w:szCs w:val="22"/>
        </w:rPr>
        <w:t>li ammortamenti diretti</w:t>
      </w:r>
    </w:p>
    <w:p w14:paraId="68BB87E1" w14:textId="77777777" w:rsidR="00225122" w:rsidRDefault="00225122" w:rsidP="00225122">
      <w:pPr>
        <w:jc w:val="both"/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7D58B7B3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17.</w:t>
      </w:r>
      <w:r>
        <w:rPr>
          <w:rFonts w:ascii="Candara" w:hAnsi="Candara" w:cs="Arial"/>
          <w:b/>
          <w:sz w:val="22"/>
          <w:szCs w:val="22"/>
        </w:rPr>
        <w:t xml:space="preserve"> </w:t>
      </w:r>
      <w:r>
        <w:rPr>
          <w:rFonts w:ascii="Candara" w:hAnsi="Candara" w:cs="Arial"/>
          <w:sz w:val="22"/>
          <w:szCs w:val="22"/>
        </w:rPr>
        <w:t>Qualora un’impresa riveda il proprio piano di ammortamento di un cespite aumentando la vita utile stimata, questo implicherebbe per i futuri esercizi:</w:t>
      </w:r>
    </w:p>
    <w:p w14:paraId="4F8C3C9F" w14:textId="042100D5" w:rsidR="00225122" w:rsidRPr="00C829B0" w:rsidRDefault="00225122" w:rsidP="00225122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ndara" w:hAnsi="Candara" w:cs="Arial"/>
          <w:b/>
          <w:bCs/>
        </w:rPr>
      </w:pPr>
      <w:r w:rsidRPr="00C829B0">
        <w:rPr>
          <w:rFonts w:ascii="Candara" w:hAnsi="Candara" w:cs="Arial"/>
          <w:b/>
          <w:bCs/>
        </w:rPr>
        <w:t>un aumento delle quote di ammortamento</w:t>
      </w:r>
      <w:r w:rsidR="00C829B0">
        <w:rPr>
          <w:rFonts w:ascii="Candara" w:hAnsi="Candara" w:cs="Arial"/>
          <w:b/>
          <w:bCs/>
        </w:rPr>
        <w:t xml:space="preserve"> </w:t>
      </w:r>
      <w:r w:rsidR="00C829B0">
        <w:rPr>
          <w:rFonts w:ascii="Candara" w:hAnsi="Candara" w:cs="Arial"/>
          <w:b/>
          <w:bCs/>
        </w:rPr>
        <w:t>(corretta sia a sia b)</w:t>
      </w:r>
    </w:p>
    <w:p w14:paraId="51FE7D7F" w14:textId="0D56FAC3" w:rsidR="00225122" w:rsidRDefault="00225122" w:rsidP="00225122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>una riduzione delle quote di ammortamento</w:t>
      </w:r>
      <w:r w:rsidR="00C829B0">
        <w:rPr>
          <w:rFonts w:ascii="Candara" w:hAnsi="Candara" w:cs="Arial"/>
          <w:b/>
          <w:bCs/>
        </w:rPr>
        <w:t xml:space="preserve"> </w:t>
      </w:r>
      <w:r w:rsidR="00C829B0">
        <w:rPr>
          <w:rFonts w:ascii="Candara" w:hAnsi="Candara" w:cs="Arial"/>
          <w:b/>
          <w:bCs/>
        </w:rPr>
        <w:t>(corretta sia a sia b)</w:t>
      </w:r>
      <w:bookmarkStart w:id="0" w:name="_GoBack"/>
      <w:bookmarkEnd w:id="0"/>
    </w:p>
    <w:p w14:paraId="2B2153E5" w14:textId="77777777" w:rsidR="00225122" w:rsidRDefault="00225122" w:rsidP="00225122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una costanza delle quote di ammortamento</w:t>
      </w:r>
    </w:p>
    <w:p w14:paraId="389C3B1A" w14:textId="77777777" w:rsidR="00225122" w:rsidRDefault="00225122" w:rsidP="00225122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nessuna delle precedenti è corretta</w:t>
      </w:r>
    </w:p>
    <w:p w14:paraId="5C943626" w14:textId="77777777" w:rsidR="00225122" w:rsidRDefault="00225122" w:rsidP="00225122">
      <w:pPr>
        <w:rPr>
          <w:rFonts w:ascii="Candara" w:hAnsi="Candara" w:cs="Arial"/>
          <w:color w:val="000000" w:themeColor="text1"/>
          <w:spacing w:val="-2"/>
          <w:sz w:val="22"/>
          <w:szCs w:val="22"/>
        </w:rPr>
      </w:pPr>
    </w:p>
    <w:p w14:paraId="3CEE4A9D" w14:textId="77777777" w:rsidR="00225122" w:rsidRDefault="00225122" w:rsidP="00225122">
      <w:pPr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18. Sono esempi di componenti positivi di reddito che confluiscono nella voce A5 del Conto Economico “Altri ricavi e proventi, ...”: </w:t>
      </w:r>
    </w:p>
    <w:p w14:paraId="1CB137B6" w14:textId="77777777" w:rsidR="00225122" w:rsidRDefault="00225122" w:rsidP="00203957">
      <w:pPr>
        <w:numPr>
          <w:ilvl w:val="0"/>
          <w:numId w:val="46"/>
        </w:numPr>
        <w:contextualSpacing/>
        <w:jc w:val="both"/>
        <w:rPr>
          <w:rFonts w:ascii="Candara" w:eastAsia="Calibri" w:hAnsi="Candara" w:cs="Arial"/>
          <w:sz w:val="22"/>
          <w:szCs w:val="22"/>
        </w:rPr>
      </w:pPr>
      <w:r>
        <w:rPr>
          <w:rFonts w:ascii="Candara" w:eastAsia="Calibri" w:hAnsi="Candara" w:cs="Arial"/>
          <w:sz w:val="22"/>
          <w:szCs w:val="22"/>
        </w:rPr>
        <w:t xml:space="preserve">i ricavi da servizi oggetto dell’attività </w:t>
      </w:r>
    </w:p>
    <w:p w14:paraId="55B31051" w14:textId="77777777" w:rsidR="00225122" w:rsidRDefault="00225122" w:rsidP="00203957">
      <w:pPr>
        <w:numPr>
          <w:ilvl w:val="0"/>
          <w:numId w:val="46"/>
        </w:numPr>
        <w:contextualSpacing/>
        <w:jc w:val="both"/>
        <w:rPr>
          <w:rFonts w:ascii="Candara" w:hAnsi="Candara" w:cs="Arial"/>
          <w:sz w:val="22"/>
          <w:szCs w:val="22"/>
        </w:rPr>
      </w:pPr>
      <w:r>
        <w:rPr>
          <w:rFonts w:ascii="Candara" w:eastAsia="Calibri" w:hAnsi="Candara" w:cs="Arial"/>
          <w:sz w:val="22"/>
          <w:szCs w:val="22"/>
        </w:rPr>
        <w:t>l’incremento delle rimanenze di materie prime</w:t>
      </w:r>
    </w:p>
    <w:p w14:paraId="5185CD0A" w14:textId="77777777" w:rsidR="00225122" w:rsidRDefault="00225122" w:rsidP="00203957">
      <w:pPr>
        <w:numPr>
          <w:ilvl w:val="0"/>
          <w:numId w:val="46"/>
        </w:numPr>
        <w:contextualSpacing/>
        <w:jc w:val="both"/>
        <w:rPr>
          <w:rFonts w:ascii="Candara" w:eastAsia="Calibri" w:hAnsi="Candara" w:cs="Arial"/>
          <w:b/>
          <w:sz w:val="22"/>
          <w:szCs w:val="22"/>
        </w:rPr>
      </w:pPr>
      <w:r>
        <w:rPr>
          <w:rFonts w:ascii="Candara" w:eastAsia="Calibri" w:hAnsi="Candara" w:cs="Arial"/>
          <w:b/>
          <w:sz w:val="22"/>
          <w:szCs w:val="22"/>
        </w:rPr>
        <w:t>i ripristini di valore delle immobilizzazioni</w:t>
      </w:r>
    </w:p>
    <w:p w14:paraId="1517DBC4" w14:textId="77777777" w:rsidR="00225122" w:rsidRDefault="00225122" w:rsidP="00203957">
      <w:pPr>
        <w:numPr>
          <w:ilvl w:val="0"/>
          <w:numId w:val="46"/>
        </w:numPr>
        <w:contextualSpacing/>
        <w:jc w:val="both"/>
        <w:rPr>
          <w:rFonts w:ascii="Candara" w:eastAsia="Calibri" w:hAnsi="Candara" w:cs="Arial"/>
          <w:sz w:val="22"/>
          <w:szCs w:val="22"/>
        </w:rPr>
      </w:pPr>
      <w:r>
        <w:rPr>
          <w:rFonts w:ascii="Candara" w:eastAsia="Calibri" w:hAnsi="Candara" w:cs="Arial"/>
          <w:sz w:val="22"/>
          <w:szCs w:val="22"/>
        </w:rPr>
        <w:t xml:space="preserve">i dividendi delle partecipate </w:t>
      </w:r>
    </w:p>
    <w:p w14:paraId="4F56AD98" w14:textId="77777777" w:rsidR="00225122" w:rsidRDefault="00225122" w:rsidP="00225122">
      <w:pPr>
        <w:rPr>
          <w:rFonts w:ascii="Candara" w:hAnsi="Candara" w:cs="Arial"/>
          <w:b/>
          <w:sz w:val="22"/>
          <w:szCs w:val="22"/>
        </w:rPr>
      </w:pPr>
    </w:p>
    <w:p w14:paraId="64315B1C" w14:textId="77777777" w:rsidR="009F75F5" w:rsidRPr="00FC0FD3" w:rsidRDefault="009F75F5" w:rsidP="009F75F5">
      <w:pPr>
        <w:jc w:val="both"/>
        <w:rPr>
          <w:rFonts w:ascii="Candara" w:hAnsi="Candara" w:cs="Arial"/>
          <w:color w:val="000000" w:themeColor="text1"/>
          <w:sz w:val="23"/>
          <w:szCs w:val="23"/>
        </w:rPr>
      </w:pPr>
      <w:r w:rsidRPr="00FC0FD3">
        <w:rPr>
          <w:rFonts w:ascii="Candara" w:hAnsi="Candara" w:cs="Arial"/>
          <w:color w:val="000000" w:themeColor="text1"/>
          <w:sz w:val="23"/>
          <w:szCs w:val="23"/>
        </w:rPr>
        <w:t>19</w:t>
      </w:r>
      <w:r>
        <w:rPr>
          <w:rFonts w:ascii="Candara" w:hAnsi="Candara" w:cs="Arial"/>
          <w:color w:val="000000" w:themeColor="text1"/>
          <w:sz w:val="23"/>
          <w:szCs w:val="23"/>
        </w:rPr>
        <w:t>.</w:t>
      </w:r>
      <w:r w:rsidRPr="00FC0FD3">
        <w:rPr>
          <w:rFonts w:ascii="Candara" w:hAnsi="Candara" w:cs="Arial"/>
          <w:color w:val="000000" w:themeColor="text1"/>
          <w:sz w:val="23"/>
          <w:szCs w:val="23"/>
        </w:rPr>
        <w:t xml:space="preserve"> L’approccio semplificato alla svalutazione si fonda su</w:t>
      </w:r>
      <w:r>
        <w:rPr>
          <w:rFonts w:ascii="Candara" w:hAnsi="Candara" w:cs="Arial"/>
          <w:color w:val="000000" w:themeColor="text1"/>
          <w:sz w:val="23"/>
          <w:szCs w:val="23"/>
        </w:rPr>
        <w:t>:</w:t>
      </w:r>
    </w:p>
    <w:p w14:paraId="5481208E" w14:textId="77777777" w:rsidR="009F75F5" w:rsidRDefault="009F75F5" w:rsidP="009F75F5">
      <w:pPr>
        <w:numPr>
          <w:ilvl w:val="0"/>
          <w:numId w:val="44"/>
        </w:numPr>
        <w:jc w:val="both"/>
        <w:rPr>
          <w:rFonts w:ascii="Candara" w:hAnsi="Candara" w:cs="Arial"/>
          <w:color w:val="000000" w:themeColor="text1"/>
          <w:sz w:val="23"/>
          <w:szCs w:val="23"/>
        </w:rPr>
      </w:pPr>
      <w:r>
        <w:rPr>
          <w:rFonts w:ascii="Candara" w:hAnsi="Candara" w:cs="Arial"/>
          <w:color w:val="000000" w:themeColor="text1"/>
          <w:sz w:val="23"/>
          <w:szCs w:val="23"/>
        </w:rPr>
        <w:t>flussi di cassa</w:t>
      </w:r>
    </w:p>
    <w:p w14:paraId="78CACA30" w14:textId="77777777" w:rsidR="009F75F5" w:rsidRDefault="009F75F5" w:rsidP="009F75F5">
      <w:pPr>
        <w:numPr>
          <w:ilvl w:val="0"/>
          <w:numId w:val="44"/>
        </w:numPr>
        <w:jc w:val="both"/>
        <w:rPr>
          <w:rFonts w:ascii="Candara" w:hAnsi="Candara" w:cs="Arial"/>
          <w:color w:val="000000" w:themeColor="text1"/>
          <w:sz w:val="23"/>
          <w:szCs w:val="23"/>
        </w:rPr>
      </w:pPr>
      <w:r>
        <w:rPr>
          <w:rFonts w:ascii="Candara" w:hAnsi="Candara" w:cs="Arial"/>
          <w:color w:val="000000" w:themeColor="text1"/>
          <w:sz w:val="23"/>
          <w:szCs w:val="23"/>
        </w:rPr>
        <w:t>lifo</w:t>
      </w:r>
    </w:p>
    <w:p w14:paraId="16BB9524" w14:textId="77777777" w:rsidR="009F75F5" w:rsidRPr="009F75F5" w:rsidRDefault="009F75F5" w:rsidP="009F75F5">
      <w:pPr>
        <w:numPr>
          <w:ilvl w:val="0"/>
          <w:numId w:val="44"/>
        </w:numPr>
        <w:jc w:val="both"/>
        <w:rPr>
          <w:rFonts w:ascii="Candara" w:hAnsi="Candara" w:cs="Arial"/>
          <w:b/>
          <w:color w:val="000000" w:themeColor="text1"/>
          <w:sz w:val="23"/>
          <w:szCs w:val="23"/>
        </w:rPr>
      </w:pPr>
      <w:r w:rsidRPr="009F75F5">
        <w:rPr>
          <w:rFonts w:ascii="Candara" w:hAnsi="Candara" w:cs="Arial"/>
          <w:b/>
          <w:color w:val="000000" w:themeColor="text1"/>
          <w:sz w:val="23"/>
          <w:szCs w:val="23"/>
        </w:rPr>
        <w:t>capacità di ammortamento</w:t>
      </w:r>
    </w:p>
    <w:p w14:paraId="355549BD" w14:textId="77777777" w:rsidR="009F75F5" w:rsidRPr="00FC0FD3" w:rsidRDefault="009F75F5" w:rsidP="009F75F5">
      <w:pPr>
        <w:numPr>
          <w:ilvl w:val="0"/>
          <w:numId w:val="44"/>
        </w:numPr>
        <w:jc w:val="both"/>
        <w:rPr>
          <w:rFonts w:ascii="Candara" w:hAnsi="Candara" w:cs="Arial"/>
          <w:color w:val="000000" w:themeColor="text1"/>
          <w:sz w:val="23"/>
          <w:szCs w:val="23"/>
        </w:rPr>
      </w:pPr>
      <w:r>
        <w:rPr>
          <w:rFonts w:ascii="Candara" w:hAnsi="Candara" w:cs="Arial"/>
          <w:color w:val="000000" w:themeColor="text1"/>
          <w:sz w:val="23"/>
          <w:szCs w:val="23"/>
        </w:rPr>
        <w:t>costo medio ponderato</w:t>
      </w:r>
    </w:p>
    <w:p w14:paraId="67EF8ACB" w14:textId="77777777" w:rsidR="00225122" w:rsidRDefault="00225122" w:rsidP="00225122">
      <w:pPr>
        <w:rPr>
          <w:rFonts w:ascii="Candara" w:hAnsi="Candara" w:cs="Arial"/>
          <w:b/>
          <w:sz w:val="22"/>
          <w:szCs w:val="22"/>
        </w:rPr>
      </w:pPr>
    </w:p>
    <w:p w14:paraId="6BAC8973" w14:textId="77777777" w:rsidR="00225122" w:rsidRDefault="00225122" w:rsidP="0022512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20. Quale categoria di immobilizzazioni materiali impedisce la distribuzione di dividendi in mancanza di riserve disponibili sufficienti a coprire la parte non ammortizzata:</w:t>
      </w:r>
    </w:p>
    <w:p w14:paraId="5521FCB5" w14:textId="1B55A14D" w:rsidR="00225122" w:rsidRDefault="009F75F5" w:rsidP="00225122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t</w:t>
      </w:r>
      <w:r w:rsidR="00225122">
        <w:rPr>
          <w:rFonts w:ascii="Candara" w:hAnsi="Candara"/>
        </w:rPr>
        <w:t>erreni e fabbricati</w:t>
      </w:r>
    </w:p>
    <w:p w14:paraId="13E89661" w14:textId="6142DACE" w:rsidR="00225122" w:rsidRDefault="009F75F5" w:rsidP="00225122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</w:t>
      </w:r>
      <w:r w:rsidR="00225122">
        <w:rPr>
          <w:rFonts w:ascii="Candara" w:hAnsi="Candara"/>
        </w:rPr>
        <w:t>ttrezzature industriali e commerciali</w:t>
      </w:r>
    </w:p>
    <w:p w14:paraId="5CDDCCEC" w14:textId="4D9EDD3E" w:rsidR="00225122" w:rsidRDefault="009F75F5" w:rsidP="00225122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m</w:t>
      </w:r>
      <w:r w:rsidR="00225122">
        <w:rPr>
          <w:rFonts w:ascii="Candara" w:hAnsi="Candara"/>
        </w:rPr>
        <w:t>archi e brevetti</w:t>
      </w:r>
    </w:p>
    <w:p w14:paraId="440B50BA" w14:textId="78FB664D" w:rsidR="00225122" w:rsidRDefault="00225122" w:rsidP="00225122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nessuna</w:t>
      </w:r>
      <w:r w:rsidR="00293D0F">
        <w:rPr>
          <w:rFonts w:ascii="Candara" w:hAnsi="Candara"/>
          <w:b/>
        </w:rPr>
        <w:t xml:space="preserve"> delle precedenti</w:t>
      </w:r>
    </w:p>
    <w:p w14:paraId="0124C4FE" w14:textId="77777777" w:rsidR="00225122" w:rsidRDefault="00225122" w:rsidP="00225122">
      <w:pPr>
        <w:rPr>
          <w:rFonts w:ascii="Candara" w:hAnsi="Candara" w:cs="Arial"/>
          <w:b/>
          <w:sz w:val="22"/>
          <w:szCs w:val="22"/>
        </w:rPr>
      </w:pPr>
    </w:p>
    <w:p w14:paraId="797D1B76" w14:textId="2FB8EBBF" w:rsidR="008F2CEE" w:rsidRPr="008F2CEE" w:rsidRDefault="008F2CEE" w:rsidP="008F2CEE">
      <w:pPr>
        <w:rPr>
          <w:rFonts w:ascii="Candara" w:hAnsi="Candara" w:cs="Arial"/>
          <w:b/>
          <w:sz w:val="22"/>
          <w:szCs w:val="22"/>
        </w:rPr>
      </w:pPr>
      <w:r w:rsidRPr="008F2CEE">
        <w:rPr>
          <w:rFonts w:ascii="Candara" w:hAnsi="Candara" w:cs="Arial"/>
          <w:b/>
          <w:sz w:val="22"/>
          <w:szCs w:val="22"/>
        </w:rPr>
        <w:br w:type="page"/>
      </w:r>
    </w:p>
    <w:p w14:paraId="7F1ABDB9" w14:textId="77777777" w:rsidR="00715615" w:rsidRPr="00AD697E" w:rsidRDefault="00715615" w:rsidP="00715615">
      <w:pPr>
        <w:spacing w:line="240" w:lineRule="exact"/>
        <w:jc w:val="both"/>
        <w:rPr>
          <w:rFonts w:ascii="Candara" w:hAnsi="Candara" w:cs="Arial"/>
          <w:color w:val="000000" w:themeColor="text1"/>
          <w:sz w:val="22"/>
          <w:szCs w:val="22"/>
        </w:rPr>
      </w:pPr>
    </w:p>
    <w:p w14:paraId="4410171D" w14:textId="4119F74F" w:rsidR="00BB67E3" w:rsidRPr="00CC26F4" w:rsidRDefault="00BB67E3" w:rsidP="00BB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Candara" w:hAnsi="Candara"/>
          <w:b/>
          <w:color w:val="000000" w:themeColor="text1"/>
          <w:sz w:val="24"/>
          <w:szCs w:val="24"/>
        </w:rPr>
      </w:pPr>
      <w:r w:rsidRPr="00CC26F4">
        <w:rPr>
          <w:rFonts w:ascii="Candara" w:hAnsi="Candara"/>
          <w:b/>
          <w:color w:val="000000" w:themeColor="text1"/>
          <w:sz w:val="24"/>
          <w:szCs w:val="24"/>
        </w:rPr>
        <w:t>Domande chiuse (ciascuna risposta punti: 5 corretta, 0 assente, -2 errata)</w:t>
      </w:r>
    </w:p>
    <w:p w14:paraId="4245B7AD" w14:textId="77777777" w:rsidR="00DA3A1C" w:rsidRPr="00501CC0" w:rsidRDefault="00DA3A1C" w:rsidP="000A7C78">
      <w:pPr>
        <w:jc w:val="both"/>
        <w:outlineLvl w:val="0"/>
        <w:rPr>
          <w:rFonts w:ascii="Candara" w:hAnsi="Candara"/>
          <w:b/>
          <w:color w:val="632423" w:themeColor="accent2" w:themeShade="80"/>
        </w:rPr>
      </w:pPr>
    </w:p>
    <w:p w14:paraId="695E6AB2" w14:textId="77777777" w:rsidR="00B46871" w:rsidRDefault="00B46871" w:rsidP="00B4687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1.</w:t>
      </w:r>
      <w:r w:rsidRPr="00210A22">
        <w:rPr>
          <w:rFonts w:ascii="Candara" w:hAnsi="Candara"/>
          <w:sz w:val="22"/>
          <w:szCs w:val="22"/>
        </w:rPr>
        <w:t xml:space="preserve"> La Alfa S.p.A. presenta la seguente situazione </w:t>
      </w:r>
      <w:r>
        <w:rPr>
          <w:rFonts w:ascii="Candara" w:hAnsi="Candara"/>
          <w:sz w:val="22"/>
          <w:szCs w:val="22"/>
        </w:rPr>
        <w:t>creditoria</w:t>
      </w:r>
      <w:r w:rsidRPr="00210A22">
        <w:rPr>
          <w:rFonts w:ascii="Candara" w:hAnsi="Candara"/>
          <w:sz w:val="22"/>
          <w:szCs w:val="22"/>
        </w:rPr>
        <w:t xml:space="preserve"> sull'estero al 31</w:t>
      </w:r>
      <w:r>
        <w:rPr>
          <w:rFonts w:ascii="Candara" w:hAnsi="Candara"/>
          <w:sz w:val="22"/>
          <w:szCs w:val="22"/>
        </w:rPr>
        <w:t>.12.x: un credito di dollari 4</w:t>
      </w:r>
      <w:r w:rsidRPr="00210A22">
        <w:rPr>
          <w:rFonts w:ascii="Candara" w:hAnsi="Candara"/>
          <w:sz w:val="22"/>
          <w:szCs w:val="22"/>
        </w:rPr>
        <w:t xml:space="preserve">.000.000 (sorto a seguito </w:t>
      </w:r>
      <w:r>
        <w:rPr>
          <w:rFonts w:ascii="Candara" w:hAnsi="Candara"/>
          <w:sz w:val="22"/>
          <w:szCs w:val="22"/>
        </w:rPr>
        <w:t>della vendita</w:t>
      </w:r>
      <w:r w:rsidRPr="00210A22">
        <w:rPr>
          <w:rFonts w:ascii="Candara" w:hAnsi="Candara"/>
          <w:sz w:val="22"/>
          <w:szCs w:val="22"/>
        </w:rPr>
        <w:t xml:space="preserve"> di servizi all'estero) è stato rilevato in co</w:t>
      </w:r>
      <w:r>
        <w:rPr>
          <w:rFonts w:ascii="Candara" w:hAnsi="Candara"/>
          <w:sz w:val="22"/>
          <w:szCs w:val="22"/>
        </w:rPr>
        <w:t>ntabilità al cambio 1 euro = 1,3</w:t>
      </w:r>
      <w:r w:rsidRPr="00210A22">
        <w:rPr>
          <w:rFonts w:ascii="Candara" w:hAnsi="Candara"/>
          <w:sz w:val="22"/>
          <w:szCs w:val="22"/>
        </w:rPr>
        <w:t xml:space="preserve">0 dollari. A fine esercizio 1 euro </w:t>
      </w:r>
      <w:r>
        <w:rPr>
          <w:rFonts w:ascii="Candara" w:hAnsi="Candara"/>
          <w:sz w:val="22"/>
          <w:szCs w:val="22"/>
        </w:rPr>
        <w:t>corrisponde a 1,2</w:t>
      </w:r>
      <w:r w:rsidRPr="00210A22">
        <w:rPr>
          <w:rFonts w:ascii="Candara" w:hAnsi="Candara"/>
          <w:sz w:val="22"/>
          <w:szCs w:val="22"/>
        </w:rPr>
        <w:t xml:space="preserve">0 dollari. Si proceda </w:t>
      </w:r>
      <w:r>
        <w:rPr>
          <w:rFonts w:ascii="Candara" w:hAnsi="Candara"/>
          <w:sz w:val="22"/>
          <w:szCs w:val="22"/>
        </w:rPr>
        <w:t>a individuare i valori da inserire nel bilancio dell'esercizio X</w:t>
      </w:r>
      <w:r w:rsidRPr="00210A22">
        <w:rPr>
          <w:rFonts w:ascii="Candara" w:hAnsi="Candara"/>
          <w:sz w:val="22"/>
          <w:szCs w:val="22"/>
        </w:rPr>
        <w:t>.</w:t>
      </w:r>
    </w:p>
    <w:p w14:paraId="66301F94" w14:textId="3468A28F" w:rsidR="00B46871" w:rsidRDefault="001F3AD9" w:rsidP="00B46871">
      <w:pPr>
        <w:jc w:val="both"/>
        <w:rPr>
          <w:rFonts w:ascii="Candara" w:hAnsi="Candara"/>
          <w:sz w:val="22"/>
          <w:szCs w:val="22"/>
        </w:rPr>
      </w:pPr>
      <w:r w:rsidRPr="001F3AD9">
        <w:rPr>
          <w:noProof/>
        </w:rPr>
        <w:drawing>
          <wp:inline distT="0" distB="0" distL="0" distR="0" wp14:anchorId="1A2E49C4" wp14:editId="562DC197">
            <wp:extent cx="6456680" cy="747395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66B4" w14:textId="750BBD83" w:rsidR="00B46871" w:rsidRDefault="00B46871" w:rsidP="00B46871">
      <w:pPr>
        <w:rPr>
          <w:rStyle w:val="testinogrigio"/>
          <w:rFonts w:ascii="Candara" w:hAnsi="Candara"/>
          <w:b/>
          <w:color w:val="000000" w:themeColor="text1"/>
          <w:sz w:val="22"/>
          <w:szCs w:val="22"/>
        </w:rPr>
      </w:pPr>
    </w:p>
    <w:p w14:paraId="11C8DD7D" w14:textId="77777777" w:rsidR="00B46871" w:rsidRDefault="00B46871" w:rsidP="00B46871">
      <w:pPr>
        <w:rPr>
          <w:rStyle w:val="testinogrigio"/>
          <w:rFonts w:ascii="Candara" w:hAnsi="Candara"/>
          <w:b/>
          <w:color w:val="000000" w:themeColor="text1"/>
          <w:sz w:val="22"/>
          <w:szCs w:val="22"/>
        </w:rPr>
      </w:pPr>
    </w:p>
    <w:p w14:paraId="11A1450F" w14:textId="4EB84B03" w:rsidR="006D6D46" w:rsidRDefault="006D6D46" w:rsidP="00CC6223">
      <w:pPr>
        <w:jc w:val="both"/>
        <w:rPr>
          <w:rFonts w:ascii="Candara" w:hAnsi="Candara" w:cs="Arial"/>
          <w:color w:val="000000" w:themeColor="text1"/>
          <w:sz w:val="22"/>
          <w:szCs w:val="22"/>
        </w:rPr>
      </w:pPr>
      <w:r>
        <w:rPr>
          <w:rStyle w:val="testinogrigio"/>
          <w:rFonts w:ascii="Candara" w:hAnsi="Candara"/>
          <w:b/>
          <w:color w:val="000000" w:themeColor="text1"/>
          <w:sz w:val="22"/>
          <w:szCs w:val="22"/>
        </w:rPr>
        <w:t>2.</w:t>
      </w:r>
      <w:r w:rsidRPr="00FD7DEC">
        <w:rPr>
          <w:rStyle w:val="testinogrigio"/>
          <w:rFonts w:ascii="Candara" w:hAnsi="Candara"/>
          <w:b/>
          <w:color w:val="000000" w:themeColor="text1"/>
          <w:sz w:val="22"/>
          <w:szCs w:val="22"/>
        </w:rPr>
        <w:t xml:space="preserve"> 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>Una società che opera su commessa ha in produzione due commesse.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 xml:space="preserve"> La prima prevede un ricavo di 3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.000 e costi per 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>1.8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00 con avanzamento </w:t>
      </w:r>
      <w:r>
        <w:rPr>
          <w:rFonts w:ascii="Candara" w:hAnsi="Candara" w:cs="Arial"/>
          <w:color w:val="000000" w:themeColor="text1"/>
          <w:sz w:val="22"/>
          <w:szCs w:val="22"/>
        </w:rPr>
        <w:t>6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>0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>%-100%, la seconda ricavi per 5.0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00 e costi per 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>3.0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00 con avanzamento 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>5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>0%</w:t>
      </w:r>
      <w:r>
        <w:rPr>
          <w:rFonts w:ascii="Candara" w:hAnsi="Candara" w:cs="Arial"/>
          <w:color w:val="000000" w:themeColor="text1"/>
          <w:sz w:val="22"/>
          <w:szCs w:val="22"/>
        </w:rPr>
        <w:t>-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>7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>0%</w:t>
      </w:r>
      <w:r>
        <w:rPr>
          <w:rFonts w:ascii="Candara" w:hAnsi="Candara" w:cs="Arial"/>
          <w:color w:val="000000" w:themeColor="text1"/>
          <w:sz w:val="22"/>
          <w:szCs w:val="22"/>
        </w:rPr>
        <w:t>-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100%. Entrambe le commesse sono vendute nell’esercizio di ultimazione. Valutando le commesse con il metodo </w:t>
      </w:r>
      <w:r>
        <w:rPr>
          <w:rFonts w:ascii="Candara" w:hAnsi="Candara" w:cs="Arial"/>
          <w:color w:val="000000" w:themeColor="text1"/>
          <w:sz w:val="22"/>
          <w:szCs w:val="22"/>
        </w:rPr>
        <w:t>della percentuale di completamento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 xml:space="preserve"> </w:t>
      </w:r>
      <w:r w:rsidR="00CC6223">
        <w:rPr>
          <w:rFonts w:ascii="Candara" w:hAnsi="Candara" w:cs="Arial"/>
          <w:color w:val="000000" w:themeColor="text1"/>
          <w:sz w:val="22"/>
          <w:szCs w:val="22"/>
        </w:rPr>
        <w:t xml:space="preserve">la variazione delle rimanenze dei lavori in corso (A3 del CE) </w:t>
      </w:r>
      <w:r w:rsidRPr="00FD7DEC">
        <w:rPr>
          <w:rFonts w:ascii="Candara" w:hAnsi="Candara" w:cs="Arial"/>
          <w:color w:val="000000" w:themeColor="text1"/>
          <w:sz w:val="22"/>
          <w:szCs w:val="22"/>
        </w:rPr>
        <w:t>al termine del secondo anno è:</w:t>
      </w:r>
    </w:p>
    <w:p w14:paraId="0F22851D" w14:textId="19A6285B" w:rsidR="00CC6223" w:rsidRDefault="00CC6223" w:rsidP="006D6D46">
      <w:pPr>
        <w:rPr>
          <w:rFonts w:ascii="Candara" w:hAnsi="Candara" w:cs="Arial"/>
          <w:color w:val="000000" w:themeColor="text1"/>
          <w:sz w:val="22"/>
          <w:szCs w:val="22"/>
        </w:rPr>
      </w:pPr>
    </w:p>
    <w:p w14:paraId="1666DA91" w14:textId="5B5C80F6" w:rsidR="00CC6223" w:rsidRPr="00FD7DEC" w:rsidRDefault="001F3AD9" w:rsidP="006D6D46">
      <w:pPr>
        <w:rPr>
          <w:rFonts w:ascii="Candara" w:hAnsi="Candara" w:cs="Arial"/>
          <w:color w:val="000000" w:themeColor="text1"/>
          <w:sz w:val="22"/>
          <w:szCs w:val="22"/>
        </w:rPr>
      </w:pPr>
      <w:r w:rsidRPr="001F3AD9">
        <w:rPr>
          <w:noProof/>
        </w:rPr>
        <w:drawing>
          <wp:inline distT="0" distB="0" distL="0" distR="0" wp14:anchorId="628827FD" wp14:editId="4997B08A">
            <wp:extent cx="4345305" cy="7435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43AB" w14:textId="77777777" w:rsidR="007063CE" w:rsidRPr="00501CC0" w:rsidRDefault="007063CE" w:rsidP="007063CE">
      <w:pPr>
        <w:rPr>
          <w:rFonts w:ascii="Candara" w:hAnsi="Candara"/>
          <w:color w:val="632423" w:themeColor="accent2" w:themeShade="80"/>
          <w:sz w:val="22"/>
          <w:szCs w:val="22"/>
        </w:rPr>
      </w:pPr>
    </w:p>
    <w:p w14:paraId="11C6F993" w14:textId="77777777" w:rsidR="007063CE" w:rsidRDefault="007063CE" w:rsidP="007063CE">
      <w:pPr>
        <w:jc w:val="center"/>
        <w:rPr>
          <w:rFonts w:ascii="Candara" w:hAnsi="Candara"/>
          <w:color w:val="632423" w:themeColor="accent2" w:themeShade="80"/>
        </w:rPr>
      </w:pPr>
    </w:p>
    <w:p w14:paraId="6491ABF6" w14:textId="77777777" w:rsidR="00670556" w:rsidRPr="00670556" w:rsidRDefault="00B46871" w:rsidP="0067055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3.</w:t>
      </w:r>
      <w:r w:rsidR="00976445" w:rsidRPr="00976445">
        <w:rPr>
          <w:rFonts w:ascii="Candara" w:hAnsi="Candara" w:cs="Arial"/>
          <w:sz w:val="22"/>
          <w:szCs w:val="22"/>
        </w:rPr>
        <w:t xml:space="preserve"> </w:t>
      </w:r>
      <w:r w:rsidR="00670556" w:rsidRPr="00670556">
        <w:rPr>
          <w:rFonts w:ascii="Candara" w:hAnsi="Candara"/>
          <w:bCs/>
          <w:sz w:val="22"/>
          <w:szCs w:val="22"/>
        </w:rPr>
        <w:t>La Alfa Spa in data 2 gennaio 2019 procede all’acquisto di obbligazioni FCA</w:t>
      </w:r>
    </w:p>
    <w:p w14:paraId="437EDCBA" w14:textId="77777777" w:rsidR="00670556" w:rsidRPr="00670556" w:rsidRDefault="00670556" w:rsidP="00670556">
      <w:pPr>
        <w:numPr>
          <w:ilvl w:val="0"/>
          <w:numId w:val="47"/>
        </w:numPr>
        <w:rPr>
          <w:rFonts w:ascii="Candara" w:hAnsi="Candara"/>
          <w:sz w:val="22"/>
          <w:szCs w:val="22"/>
        </w:rPr>
      </w:pPr>
      <w:r w:rsidRPr="00670556">
        <w:rPr>
          <w:rFonts w:ascii="Candara" w:hAnsi="Candara"/>
          <w:bCs/>
          <w:sz w:val="22"/>
          <w:szCs w:val="22"/>
        </w:rPr>
        <w:t>Costo di acquisto 3.000.000 euro e valore nominale 3.500.000</w:t>
      </w:r>
    </w:p>
    <w:p w14:paraId="74E695AC" w14:textId="77777777" w:rsidR="00670556" w:rsidRPr="00670556" w:rsidRDefault="00670556" w:rsidP="00670556">
      <w:pPr>
        <w:numPr>
          <w:ilvl w:val="0"/>
          <w:numId w:val="47"/>
        </w:numPr>
        <w:rPr>
          <w:rFonts w:ascii="Candara" w:hAnsi="Candara"/>
          <w:sz w:val="22"/>
          <w:szCs w:val="22"/>
        </w:rPr>
      </w:pPr>
      <w:r w:rsidRPr="00670556">
        <w:rPr>
          <w:rFonts w:ascii="Candara" w:hAnsi="Candara"/>
          <w:bCs/>
          <w:sz w:val="22"/>
          <w:szCs w:val="22"/>
        </w:rPr>
        <w:t>Rendimento 5%, godimento 31.12</w:t>
      </w:r>
    </w:p>
    <w:p w14:paraId="4D08D9F9" w14:textId="77777777" w:rsidR="00670556" w:rsidRPr="00670556" w:rsidRDefault="00670556" w:rsidP="00670556">
      <w:pPr>
        <w:numPr>
          <w:ilvl w:val="0"/>
          <w:numId w:val="47"/>
        </w:numPr>
        <w:rPr>
          <w:rFonts w:ascii="Candara" w:hAnsi="Candara"/>
          <w:sz w:val="22"/>
          <w:szCs w:val="22"/>
        </w:rPr>
      </w:pPr>
      <w:r w:rsidRPr="00670556">
        <w:rPr>
          <w:rFonts w:ascii="Candara" w:hAnsi="Candara"/>
          <w:bCs/>
          <w:sz w:val="22"/>
          <w:szCs w:val="22"/>
        </w:rPr>
        <w:t>Durata 5 anni (2019-2023), rimborso 31.12.2023 al valore nominale</w:t>
      </w:r>
    </w:p>
    <w:p w14:paraId="679F1446" w14:textId="77777777" w:rsidR="00670556" w:rsidRPr="00670556" w:rsidRDefault="00670556" w:rsidP="00670556">
      <w:pPr>
        <w:numPr>
          <w:ilvl w:val="0"/>
          <w:numId w:val="47"/>
        </w:numPr>
        <w:rPr>
          <w:rFonts w:ascii="Candara" w:hAnsi="Candara"/>
          <w:sz w:val="22"/>
          <w:szCs w:val="22"/>
        </w:rPr>
      </w:pPr>
      <w:r w:rsidRPr="00670556">
        <w:rPr>
          <w:rFonts w:ascii="Candara" w:hAnsi="Candara"/>
          <w:bCs/>
          <w:sz w:val="22"/>
          <w:szCs w:val="22"/>
        </w:rPr>
        <w:t>Tasso interno di rendimento 8,638%</w:t>
      </w:r>
    </w:p>
    <w:p w14:paraId="5CD9B412" w14:textId="77777777" w:rsidR="00670556" w:rsidRPr="00670556" w:rsidRDefault="00670556" w:rsidP="00670556">
      <w:pPr>
        <w:jc w:val="both"/>
        <w:rPr>
          <w:rFonts w:ascii="Candara" w:hAnsi="Candara"/>
          <w:bCs/>
          <w:sz w:val="22"/>
          <w:szCs w:val="22"/>
        </w:rPr>
      </w:pPr>
      <w:r w:rsidRPr="00670556">
        <w:rPr>
          <w:rFonts w:ascii="Candara" w:hAnsi="Candara"/>
          <w:bCs/>
          <w:sz w:val="22"/>
          <w:szCs w:val="22"/>
        </w:rPr>
        <w:t xml:space="preserve">Si determini il valore delle obbligazioni secondo il criterio del costo ammortizzato e il valore dei proventi da obbligazioni di competenza nel </w:t>
      </w:r>
      <w:r w:rsidRPr="00670556">
        <w:rPr>
          <w:rFonts w:ascii="Candara" w:hAnsi="Candara"/>
          <w:bCs/>
          <w:sz w:val="22"/>
          <w:szCs w:val="22"/>
          <w:u w:val="single"/>
        </w:rPr>
        <w:t>bilancio d’esercizio 2020</w:t>
      </w:r>
      <w:r w:rsidRPr="00670556">
        <w:rPr>
          <w:rFonts w:ascii="Candara" w:hAnsi="Candara"/>
          <w:bCs/>
          <w:sz w:val="22"/>
          <w:szCs w:val="22"/>
        </w:rPr>
        <w:t>.</w:t>
      </w:r>
    </w:p>
    <w:p w14:paraId="26DDECEF" w14:textId="77777777" w:rsidR="00670556" w:rsidRPr="00670556" w:rsidRDefault="00670556" w:rsidP="00670556">
      <w:pPr>
        <w:jc w:val="both"/>
        <w:rPr>
          <w:rFonts w:ascii="Candara" w:hAnsi="Candara"/>
          <w:bCs/>
          <w:sz w:val="22"/>
          <w:szCs w:val="22"/>
        </w:rPr>
      </w:pPr>
    </w:p>
    <w:p w14:paraId="2FE0F19B" w14:textId="5BB83A3B" w:rsidR="003F0208" w:rsidRDefault="00670556" w:rsidP="00670556">
      <w:pPr>
        <w:jc w:val="both"/>
        <w:rPr>
          <w:rFonts w:ascii="Candara" w:hAnsi="Candara"/>
          <w:color w:val="632423" w:themeColor="accent2" w:themeShade="80"/>
          <w:sz w:val="22"/>
          <w:szCs w:val="22"/>
        </w:rPr>
      </w:pPr>
      <w:r w:rsidRPr="00670556">
        <w:rPr>
          <w:noProof/>
        </w:rPr>
        <w:drawing>
          <wp:inline distT="0" distB="0" distL="0" distR="0" wp14:anchorId="25BB2BCF" wp14:editId="22C33675">
            <wp:extent cx="5347335" cy="544830"/>
            <wp:effectExtent l="0" t="0" r="5715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CE96" w14:textId="77777777" w:rsidR="00670556" w:rsidRPr="00501CC0" w:rsidRDefault="00670556" w:rsidP="00670556">
      <w:pPr>
        <w:jc w:val="both"/>
        <w:rPr>
          <w:rFonts w:ascii="Candara" w:hAnsi="Candara"/>
          <w:color w:val="632423" w:themeColor="accent2" w:themeShade="80"/>
          <w:sz w:val="22"/>
          <w:szCs w:val="22"/>
        </w:rPr>
      </w:pPr>
    </w:p>
    <w:p w14:paraId="4F4793E3" w14:textId="16504346" w:rsidR="003E55EA" w:rsidRPr="00731EC7" w:rsidRDefault="00914802" w:rsidP="003E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Candara" w:hAnsi="Candara"/>
          <w:b/>
          <w:color w:val="000000" w:themeColor="text1"/>
          <w:sz w:val="24"/>
          <w:szCs w:val="24"/>
        </w:rPr>
      </w:pPr>
      <w:r w:rsidRPr="00731EC7">
        <w:rPr>
          <w:rFonts w:ascii="Candara" w:hAnsi="Candara"/>
          <w:b/>
          <w:color w:val="000000" w:themeColor="text1"/>
          <w:sz w:val="24"/>
          <w:szCs w:val="24"/>
        </w:rPr>
        <w:t>Esercizi (ciascun esercizio 0-15</w:t>
      </w:r>
      <w:r w:rsidR="003E55EA" w:rsidRPr="00731EC7">
        <w:rPr>
          <w:rFonts w:ascii="Candara" w:hAnsi="Candara"/>
          <w:b/>
          <w:color w:val="000000" w:themeColor="text1"/>
          <w:sz w:val="24"/>
          <w:szCs w:val="24"/>
        </w:rPr>
        <w:t xml:space="preserve"> punti)</w:t>
      </w:r>
    </w:p>
    <w:p w14:paraId="15EA0ED4" w14:textId="77777777" w:rsidR="003E55EA" w:rsidRPr="00501CC0" w:rsidRDefault="003E55EA" w:rsidP="00F83C5A">
      <w:pPr>
        <w:jc w:val="both"/>
        <w:rPr>
          <w:rStyle w:val="testinogrigio"/>
          <w:rFonts w:ascii="Candara" w:hAnsi="Candara"/>
          <w:b/>
          <w:color w:val="632423" w:themeColor="accent2" w:themeShade="80"/>
          <w:sz w:val="22"/>
          <w:szCs w:val="22"/>
        </w:rPr>
      </w:pPr>
    </w:p>
    <w:p w14:paraId="5E14E5A5" w14:textId="4BF611FC" w:rsidR="007063CE" w:rsidRDefault="007063CE" w:rsidP="00694714">
      <w:pPr>
        <w:jc w:val="center"/>
        <w:rPr>
          <w:rFonts w:ascii="Candara" w:hAnsi="Candara"/>
          <w:color w:val="632423" w:themeColor="accent2" w:themeShade="80"/>
        </w:rPr>
      </w:pPr>
    </w:p>
    <w:p w14:paraId="087422C9" w14:textId="7DB7B76D" w:rsidR="004B595E" w:rsidRPr="004B595E" w:rsidRDefault="004B595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1. La Alfa spa avvia nel 2020 un appalto per la costruzione di una attrezzatura tecnica (valore complessivo = 1 milioni di euro). Nel frattempo si acquisiscono due finanziamenti bancari generici</w:t>
      </w:r>
      <w:r w:rsidR="00422B33">
        <w:rPr>
          <w:rStyle w:val="testinogrigio"/>
          <w:rFonts w:ascii="Candara" w:hAnsi="Candara"/>
          <w:color w:val="000000" w:themeColor="text1"/>
          <w:sz w:val="22"/>
          <w:szCs w:val="22"/>
        </w:rPr>
        <w:t xml:space="preserve"> (non di scopo)</w:t>
      </w: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 xml:space="preserve">: a) 500 mila euro, dal 01.01.2020, tasso 4%; b) 500 mila euro dal 01.01.2020, tasso di interesse 3%. </w:t>
      </w:r>
    </w:p>
    <w:p w14:paraId="6A673A21" w14:textId="77777777" w:rsidR="004B595E" w:rsidRPr="004B595E" w:rsidRDefault="004B595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I pagamenti all’impresa appaltatrice sono i seguenti: 31 marzo 300 mila euro, 31 ottobre 300 mila euro e 30 novembre 300 mila euro.</w:t>
      </w:r>
    </w:p>
    <w:p w14:paraId="152DFE46" w14:textId="2F3D7153" w:rsidR="004B595E" w:rsidRDefault="004B595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Si determinino gli interessi passivi di competenza dell’esercizio e gli interessi passivi capitalizzabili nel costo di produzione dell’attr</w:t>
      </w:r>
      <w:r w:rsidR="001F3AD9">
        <w:rPr>
          <w:rStyle w:val="testinogrigio"/>
          <w:rFonts w:ascii="Candara" w:hAnsi="Candara"/>
          <w:color w:val="000000" w:themeColor="text1"/>
          <w:sz w:val="22"/>
          <w:szCs w:val="22"/>
        </w:rPr>
        <w:t>e</w:t>
      </w: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zzatura.</w:t>
      </w:r>
    </w:p>
    <w:p w14:paraId="63314B0A" w14:textId="593865D0" w:rsidR="00D31CB0" w:rsidRDefault="00D31CB0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</w:p>
    <w:p w14:paraId="63A6C65C" w14:textId="4A69C8EE" w:rsidR="00D31CB0" w:rsidRPr="004B595E" w:rsidRDefault="00326FB2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326FB2">
        <w:rPr>
          <w:rStyle w:val="testinogrigio"/>
          <w:rFonts w:ascii="Book Antiqua" w:hAnsi="Book Antiqua"/>
          <w:noProof/>
          <w:color w:val="auto"/>
          <w:sz w:val="20"/>
          <w:szCs w:val="20"/>
        </w:rPr>
        <w:drawing>
          <wp:inline distT="0" distB="0" distL="0" distR="0" wp14:anchorId="76CBECF1" wp14:editId="37476E93">
            <wp:extent cx="5124450" cy="5607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C49A" w14:textId="77777777" w:rsidR="004B595E" w:rsidRPr="004B595E" w:rsidRDefault="004B595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</w:p>
    <w:p w14:paraId="762028D7" w14:textId="77777777" w:rsidR="004B595E" w:rsidRPr="004B595E" w:rsidRDefault="004B595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lastRenderedPageBreak/>
        <w:t xml:space="preserve">2. Una società nel primo esercizio di attività presenta una perdita ante imposte, coincidente con quella fiscale ai fini </w:t>
      </w:r>
      <w:proofErr w:type="spellStart"/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Ires</w:t>
      </w:r>
      <w:proofErr w:type="spellEnd"/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, per 300.000 euro. Si ritiene che le difficoltà economiche siano temporanee e che, quindi, nei successivi esercizi si possano avere imponibili positivi. Infatti l’anno successivo si ha un utile ante imposte di 210.000 e quello ancora dopo un utile di 150.000.  Si indichino le imposte risultanti dalla voce 20 del Conto economico, le imposte correnti e il risultato netto per ciascuno dei tre esercizi indicati.</w:t>
      </w:r>
    </w:p>
    <w:p w14:paraId="15023106" w14:textId="17DF3AD4" w:rsidR="007063CE" w:rsidRDefault="007063CE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</w:p>
    <w:p w14:paraId="69E0A683" w14:textId="02FE6E7D" w:rsidR="00170EEB" w:rsidRDefault="00170EEB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170EEB">
        <w:rPr>
          <w:rStyle w:val="testinogrigio"/>
          <w:rFonts w:ascii="Book Antiqua" w:hAnsi="Book Antiqua"/>
          <w:noProof/>
          <w:color w:val="auto"/>
          <w:sz w:val="20"/>
          <w:szCs w:val="20"/>
        </w:rPr>
        <w:drawing>
          <wp:inline distT="0" distB="0" distL="0" distR="0" wp14:anchorId="1A368A04" wp14:editId="2FE1C2E4">
            <wp:extent cx="4114800" cy="11506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A852" w14:textId="64CF6B0D" w:rsidR="00170EEB" w:rsidRDefault="00170EEB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</w:p>
    <w:p w14:paraId="044AAD37" w14:textId="4C852C72" w:rsidR="001E50DF" w:rsidRDefault="001E50DF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</w:p>
    <w:p w14:paraId="556A92F9" w14:textId="0758919C" w:rsidR="002E20EA" w:rsidRPr="009D02DE" w:rsidRDefault="004B595E" w:rsidP="002E20EA">
      <w:pPr>
        <w:widowControl w:val="0"/>
        <w:autoSpaceDE w:val="0"/>
        <w:autoSpaceDN w:val="0"/>
        <w:adjustRightInd w:val="0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4B595E">
        <w:rPr>
          <w:rStyle w:val="testinogrigio"/>
          <w:rFonts w:ascii="Candara" w:hAnsi="Candara"/>
          <w:color w:val="000000" w:themeColor="text1"/>
          <w:sz w:val="22"/>
          <w:szCs w:val="22"/>
        </w:rPr>
        <w:t>3</w:t>
      </w:r>
      <w:r w:rsidR="002E20EA" w:rsidRPr="009D02DE">
        <w:rPr>
          <w:rStyle w:val="testinogrigio"/>
          <w:rFonts w:ascii="Candara" w:hAnsi="Candara"/>
          <w:b/>
          <w:color w:val="000000" w:themeColor="text1"/>
          <w:sz w:val="22"/>
          <w:szCs w:val="22"/>
        </w:rPr>
        <w:t xml:space="preserve">. </w:t>
      </w:r>
      <w:r w:rsidR="002E20EA" w:rsidRPr="009D02DE">
        <w:rPr>
          <w:rFonts w:ascii="Candara" w:hAnsi="Candara" w:cs="Arial"/>
          <w:color w:val="000000" w:themeColor="text1"/>
          <w:sz w:val="22"/>
          <w:szCs w:val="22"/>
        </w:rPr>
        <w:t>Una società presenta in due esercizi consecutivi (X-1 e X</w:t>
      </w:r>
      <w:r w:rsidR="002E20EA">
        <w:rPr>
          <w:rFonts w:ascii="Candara" w:hAnsi="Candara" w:cs="Arial"/>
          <w:color w:val="000000" w:themeColor="text1"/>
          <w:sz w:val="22"/>
          <w:szCs w:val="22"/>
        </w:rPr>
        <w:t>)</w:t>
      </w:r>
      <w:r w:rsidR="002E20EA" w:rsidRPr="009D02DE">
        <w:rPr>
          <w:rFonts w:ascii="Candara" w:hAnsi="Candara" w:cs="Arial"/>
          <w:color w:val="000000" w:themeColor="text1"/>
          <w:sz w:val="22"/>
          <w:szCs w:val="22"/>
        </w:rPr>
        <w:t xml:space="preserve"> i seguenti valori di bilancio. Tenendo presente che la variazione delle riserve è dovuta unicamente alla destinazione dell’utile redigere il rendiconto finanziario </w:t>
      </w:r>
      <w:r w:rsidR="002E20EA" w:rsidRPr="009D02DE">
        <w:rPr>
          <w:rFonts w:ascii="Candara" w:hAnsi="Candara"/>
          <w:color w:val="000000" w:themeColor="text1"/>
          <w:sz w:val="22"/>
          <w:szCs w:val="22"/>
        </w:rPr>
        <w:t>per l’anno X evidenziando il flusso operativo determinato sia con il metodo diretto che indiretto, il flusso derivante dall’attività di investimento, finanziamento nonché il flusso complessivo.</w:t>
      </w:r>
    </w:p>
    <w:p w14:paraId="74953857" w14:textId="7ECBD531" w:rsidR="002E20EA" w:rsidRPr="00501CC0" w:rsidRDefault="002E20EA" w:rsidP="002E20EA">
      <w:pPr>
        <w:jc w:val="center"/>
        <w:rPr>
          <w:rFonts w:ascii="Candara" w:hAnsi="Candara"/>
          <w:color w:val="632423" w:themeColor="accent2" w:themeShade="80"/>
          <w:sz w:val="22"/>
          <w:szCs w:val="22"/>
        </w:rPr>
      </w:pPr>
    </w:p>
    <w:p w14:paraId="6D837F01" w14:textId="19DA35EB" w:rsidR="007063CE" w:rsidRPr="004B595E" w:rsidRDefault="0075286A" w:rsidP="004B595E">
      <w:pPr>
        <w:widowControl w:val="0"/>
        <w:autoSpaceDE w:val="0"/>
        <w:autoSpaceDN w:val="0"/>
        <w:adjustRightInd w:val="0"/>
        <w:jc w:val="both"/>
        <w:rPr>
          <w:rStyle w:val="testinogrigio"/>
          <w:rFonts w:ascii="Candara" w:hAnsi="Candara"/>
          <w:color w:val="000000" w:themeColor="text1"/>
          <w:sz w:val="22"/>
          <w:szCs w:val="22"/>
        </w:rPr>
      </w:pPr>
      <w:r w:rsidRPr="0075286A">
        <w:rPr>
          <w:rStyle w:val="testinogrigio"/>
          <w:rFonts w:ascii="Candara" w:hAnsi="Candara"/>
          <w:noProof/>
          <w:color w:val="000000" w:themeColor="text1"/>
          <w:sz w:val="22"/>
          <w:szCs w:val="22"/>
        </w:rPr>
        <w:drawing>
          <wp:inline distT="0" distB="0" distL="0" distR="0" wp14:anchorId="63534AF1" wp14:editId="2C3C8C11">
            <wp:extent cx="6475730" cy="1468755"/>
            <wp:effectExtent l="0" t="0" r="127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2958" w14:textId="77777777" w:rsidR="007063CE" w:rsidRDefault="007063CE" w:rsidP="007063CE">
      <w:pPr>
        <w:rPr>
          <w:rFonts w:ascii="Candara" w:hAnsi="Candara"/>
          <w:color w:val="632423" w:themeColor="accent2" w:themeShade="80"/>
          <w:sz w:val="22"/>
          <w:szCs w:val="22"/>
        </w:rPr>
      </w:pPr>
    </w:p>
    <w:p w14:paraId="2FBB0909" w14:textId="77777777" w:rsidR="007063CE" w:rsidRDefault="007063CE" w:rsidP="007063CE">
      <w:pPr>
        <w:rPr>
          <w:rFonts w:ascii="Candara" w:hAnsi="Candara"/>
          <w:color w:val="632423" w:themeColor="accent2" w:themeShade="80"/>
          <w:sz w:val="22"/>
          <w:szCs w:val="22"/>
        </w:rPr>
      </w:pPr>
    </w:p>
    <w:p w14:paraId="35565F9C" w14:textId="2B765A64" w:rsidR="007063CE" w:rsidRDefault="001E50DF" w:rsidP="001E50DF">
      <w:pPr>
        <w:jc w:val="center"/>
        <w:rPr>
          <w:rFonts w:ascii="Candara" w:hAnsi="Candara"/>
          <w:color w:val="632423" w:themeColor="accent2" w:themeShade="80"/>
          <w:sz w:val="22"/>
          <w:szCs w:val="22"/>
        </w:rPr>
      </w:pPr>
      <w:r>
        <w:rPr>
          <w:rFonts w:ascii="Candara" w:hAnsi="Candara"/>
          <w:noProof/>
          <w:color w:val="632423" w:themeColor="accent2" w:themeShade="80"/>
          <w:sz w:val="22"/>
          <w:szCs w:val="22"/>
        </w:rPr>
        <w:drawing>
          <wp:inline distT="0" distB="0" distL="0" distR="0" wp14:anchorId="1C7B8967" wp14:editId="62BDEE93">
            <wp:extent cx="2121535" cy="32918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CC12C" w14:textId="0B4FF924" w:rsidR="007063CE" w:rsidRPr="00501CC0" w:rsidRDefault="007063CE" w:rsidP="00694714">
      <w:pPr>
        <w:jc w:val="center"/>
        <w:rPr>
          <w:rFonts w:ascii="Candara" w:hAnsi="Candara"/>
          <w:color w:val="632423" w:themeColor="accent2" w:themeShade="80"/>
        </w:rPr>
      </w:pPr>
    </w:p>
    <w:sectPr w:rsidR="007063CE" w:rsidRPr="00501CC0" w:rsidSect="004129B6">
      <w:headerReference w:type="default" r:id="rId15"/>
      <w:footerReference w:type="default" r:id="rId16"/>
      <w:pgSz w:w="11900" w:h="16840"/>
      <w:pgMar w:top="1276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100B" w14:textId="77777777" w:rsidR="00006B1A" w:rsidRDefault="00006B1A">
      <w:r>
        <w:separator/>
      </w:r>
    </w:p>
  </w:endnote>
  <w:endnote w:type="continuationSeparator" w:id="0">
    <w:p w14:paraId="11CF86BB" w14:textId="77777777" w:rsidR="00006B1A" w:rsidRDefault="0000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1EE0D47" w:rsidR="001A3BDB" w:rsidRDefault="001A3BDB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C829B0">
          <w:rPr>
            <w:rFonts w:ascii="Verdana" w:hAnsi="Verdana"/>
            <w:noProof/>
            <w:sz w:val="18"/>
          </w:rPr>
          <w:t>5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1A3BDB" w:rsidRDefault="001A3BDB">
    <w:pPr>
      <w:pStyle w:val="Pidipagina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7B0B" w14:textId="77777777" w:rsidR="00006B1A" w:rsidRDefault="00006B1A">
      <w:r>
        <w:separator/>
      </w:r>
    </w:p>
  </w:footnote>
  <w:footnote w:type="continuationSeparator" w:id="0">
    <w:p w14:paraId="1B742219" w14:textId="77777777" w:rsidR="00006B1A" w:rsidRDefault="0000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F819" w14:textId="556E0151" w:rsidR="001A3BDB" w:rsidRDefault="001A3BDB" w:rsidP="007417F8">
    <w:pPr>
      <w:jc w:val="center"/>
    </w:pPr>
    <w:r w:rsidRPr="00F4222B">
      <w:rPr>
        <w:rFonts w:ascii="Candara" w:hAnsi="Candara"/>
        <w:sz w:val="22"/>
        <w:szCs w:val="22"/>
      </w:rPr>
      <w:t>Università di Firenze</w:t>
    </w:r>
    <w:r>
      <w:rPr>
        <w:rFonts w:ascii="Candara" w:hAnsi="Candara"/>
        <w:sz w:val="22"/>
        <w:szCs w:val="22"/>
      </w:rPr>
      <w:t xml:space="preserve"> - </w:t>
    </w:r>
    <w:r w:rsidRPr="00F4222B">
      <w:rPr>
        <w:rFonts w:ascii="Candara" w:hAnsi="Candara"/>
        <w:sz w:val="22"/>
        <w:szCs w:val="22"/>
      </w:rPr>
      <w:t>Corso di Bilancio</w:t>
    </w:r>
    <w:r>
      <w:rPr>
        <w:rFonts w:ascii="Candara" w:hAnsi="Candara"/>
        <w:sz w:val="22"/>
        <w:szCs w:val="22"/>
      </w:rPr>
      <w:t xml:space="preserve"> d’esercizio</w:t>
    </w:r>
    <w:r w:rsidR="00E63814">
      <w:rPr>
        <w:rFonts w:ascii="Candara" w:hAnsi="Candara"/>
        <w:sz w:val="22"/>
        <w:szCs w:val="22"/>
      </w:rPr>
      <w:t xml:space="preserve"> fila </w:t>
    </w:r>
    <w:r w:rsidR="003650CA">
      <w:rPr>
        <w:rFonts w:ascii="Candara" w:hAnsi="Candara"/>
        <w:b/>
        <w:bCs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174"/>
    <w:multiLevelType w:val="hybridMultilevel"/>
    <w:tmpl w:val="E8BAE0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B4CB4"/>
    <w:multiLevelType w:val="hybridMultilevel"/>
    <w:tmpl w:val="97B4653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759F7"/>
    <w:multiLevelType w:val="hybridMultilevel"/>
    <w:tmpl w:val="39C0E7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628F"/>
    <w:multiLevelType w:val="hybridMultilevel"/>
    <w:tmpl w:val="96A24A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1E90F22"/>
    <w:multiLevelType w:val="hybridMultilevel"/>
    <w:tmpl w:val="5E4038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06D9"/>
    <w:multiLevelType w:val="hybridMultilevel"/>
    <w:tmpl w:val="BE32F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A8B"/>
    <w:multiLevelType w:val="hybridMultilevel"/>
    <w:tmpl w:val="F38273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705"/>
    <w:multiLevelType w:val="hybridMultilevel"/>
    <w:tmpl w:val="27E49A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2EB4"/>
    <w:multiLevelType w:val="hybridMultilevel"/>
    <w:tmpl w:val="D2E42E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2DBC"/>
    <w:multiLevelType w:val="hybridMultilevel"/>
    <w:tmpl w:val="75747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70DA"/>
    <w:multiLevelType w:val="hybridMultilevel"/>
    <w:tmpl w:val="83EEE1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2607"/>
    <w:multiLevelType w:val="hybridMultilevel"/>
    <w:tmpl w:val="DA162F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6C37"/>
    <w:multiLevelType w:val="hybridMultilevel"/>
    <w:tmpl w:val="F08CC1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971B2"/>
    <w:multiLevelType w:val="hybridMultilevel"/>
    <w:tmpl w:val="CFFCAE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D2ADA"/>
    <w:multiLevelType w:val="hybridMultilevel"/>
    <w:tmpl w:val="2F52A8F8"/>
    <w:lvl w:ilvl="0" w:tplc="531E1626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570613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A3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A7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3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E4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E8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A9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8C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5002A"/>
    <w:multiLevelType w:val="hybridMultilevel"/>
    <w:tmpl w:val="DF8EE4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3A4A"/>
    <w:multiLevelType w:val="hybridMultilevel"/>
    <w:tmpl w:val="31A87B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553F2"/>
    <w:multiLevelType w:val="hybridMultilevel"/>
    <w:tmpl w:val="E8BAE0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5053"/>
    <w:multiLevelType w:val="hybridMultilevel"/>
    <w:tmpl w:val="3F5E7C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C5F07"/>
    <w:multiLevelType w:val="hybridMultilevel"/>
    <w:tmpl w:val="BE8820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5B31DBC"/>
    <w:multiLevelType w:val="hybridMultilevel"/>
    <w:tmpl w:val="E8BAE0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B839E4"/>
    <w:multiLevelType w:val="hybridMultilevel"/>
    <w:tmpl w:val="83EEE1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30274"/>
    <w:multiLevelType w:val="hybridMultilevel"/>
    <w:tmpl w:val="B37289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B204A"/>
    <w:multiLevelType w:val="hybridMultilevel"/>
    <w:tmpl w:val="026A07DC"/>
    <w:lvl w:ilvl="0" w:tplc="88E422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20A6"/>
    <w:multiLevelType w:val="hybridMultilevel"/>
    <w:tmpl w:val="6FD25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12"/>
  </w:num>
  <w:num w:numId="5">
    <w:abstractNumId w:val="1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22"/>
  </w:num>
  <w:num w:numId="11">
    <w:abstractNumId w:val="26"/>
  </w:num>
  <w:num w:numId="12">
    <w:abstractNumId w:val="18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4"/>
  </w:num>
  <w:num w:numId="18">
    <w:abstractNumId w:val="20"/>
  </w:num>
  <w:num w:numId="19">
    <w:abstractNumId w:val="27"/>
  </w:num>
  <w:num w:numId="20">
    <w:abstractNumId w:val="6"/>
  </w:num>
  <w:num w:numId="21">
    <w:abstractNumId w:val="19"/>
  </w:num>
  <w:num w:numId="22">
    <w:abstractNumId w:val="7"/>
  </w:num>
  <w:num w:numId="23">
    <w:abstractNumId w:val="24"/>
  </w:num>
  <w:num w:numId="24">
    <w:abstractNumId w:val="11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06B1A"/>
    <w:rsid w:val="0000782D"/>
    <w:rsid w:val="000127CD"/>
    <w:rsid w:val="00047D2A"/>
    <w:rsid w:val="00057B05"/>
    <w:rsid w:val="000644DF"/>
    <w:rsid w:val="00074F86"/>
    <w:rsid w:val="00077036"/>
    <w:rsid w:val="0008139B"/>
    <w:rsid w:val="00081A46"/>
    <w:rsid w:val="00087DA3"/>
    <w:rsid w:val="00095BF5"/>
    <w:rsid w:val="000A0884"/>
    <w:rsid w:val="000A7C78"/>
    <w:rsid w:val="000B1548"/>
    <w:rsid w:val="000B5B76"/>
    <w:rsid w:val="000B661F"/>
    <w:rsid w:val="000B70B6"/>
    <w:rsid w:val="000C1D2F"/>
    <w:rsid w:val="000C43E6"/>
    <w:rsid w:val="000C6E2C"/>
    <w:rsid w:val="000D0A57"/>
    <w:rsid w:val="000D1B75"/>
    <w:rsid w:val="000D4336"/>
    <w:rsid w:val="000D5122"/>
    <w:rsid w:val="000E29BC"/>
    <w:rsid w:val="000E3B12"/>
    <w:rsid w:val="00100574"/>
    <w:rsid w:val="001131B7"/>
    <w:rsid w:val="00125670"/>
    <w:rsid w:val="001306F9"/>
    <w:rsid w:val="00132BF5"/>
    <w:rsid w:val="00132F42"/>
    <w:rsid w:val="00133666"/>
    <w:rsid w:val="0014596C"/>
    <w:rsid w:val="00147141"/>
    <w:rsid w:val="00157424"/>
    <w:rsid w:val="00163BCB"/>
    <w:rsid w:val="001641CD"/>
    <w:rsid w:val="00164D05"/>
    <w:rsid w:val="00170EEB"/>
    <w:rsid w:val="00172AEF"/>
    <w:rsid w:val="00180031"/>
    <w:rsid w:val="00191106"/>
    <w:rsid w:val="001A3BDB"/>
    <w:rsid w:val="001B1518"/>
    <w:rsid w:val="001E29FA"/>
    <w:rsid w:val="001E50DF"/>
    <w:rsid w:val="001F3AD9"/>
    <w:rsid w:val="001F660B"/>
    <w:rsid w:val="00201309"/>
    <w:rsid w:val="00203957"/>
    <w:rsid w:val="00206BC8"/>
    <w:rsid w:val="002145AA"/>
    <w:rsid w:val="00216001"/>
    <w:rsid w:val="002209B6"/>
    <w:rsid w:val="00223DCE"/>
    <w:rsid w:val="00225122"/>
    <w:rsid w:val="002416FB"/>
    <w:rsid w:val="00243A33"/>
    <w:rsid w:val="00246460"/>
    <w:rsid w:val="00262E38"/>
    <w:rsid w:val="002752B0"/>
    <w:rsid w:val="0028266E"/>
    <w:rsid w:val="00293D0F"/>
    <w:rsid w:val="002959F2"/>
    <w:rsid w:val="00297C9B"/>
    <w:rsid w:val="002A3895"/>
    <w:rsid w:val="002A45EC"/>
    <w:rsid w:val="002A6483"/>
    <w:rsid w:val="002A663D"/>
    <w:rsid w:val="002B1D99"/>
    <w:rsid w:val="002C29F3"/>
    <w:rsid w:val="002D54CF"/>
    <w:rsid w:val="002E20EA"/>
    <w:rsid w:val="002F01FD"/>
    <w:rsid w:val="00307891"/>
    <w:rsid w:val="003113E6"/>
    <w:rsid w:val="00312231"/>
    <w:rsid w:val="003149CC"/>
    <w:rsid w:val="00323671"/>
    <w:rsid w:val="00326FB2"/>
    <w:rsid w:val="00354C2F"/>
    <w:rsid w:val="0036027F"/>
    <w:rsid w:val="003650CA"/>
    <w:rsid w:val="003877D8"/>
    <w:rsid w:val="00394C71"/>
    <w:rsid w:val="00397C5C"/>
    <w:rsid w:val="003A5255"/>
    <w:rsid w:val="003B235D"/>
    <w:rsid w:val="003B4CF4"/>
    <w:rsid w:val="003C3B59"/>
    <w:rsid w:val="003D0B59"/>
    <w:rsid w:val="003D4D7A"/>
    <w:rsid w:val="003E4949"/>
    <w:rsid w:val="003E55EA"/>
    <w:rsid w:val="003E56CA"/>
    <w:rsid w:val="003E5D9C"/>
    <w:rsid w:val="003E5EE7"/>
    <w:rsid w:val="003F0208"/>
    <w:rsid w:val="00401663"/>
    <w:rsid w:val="004032EC"/>
    <w:rsid w:val="00406983"/>
    <w:rsid w:val="004129B6"/>
    <w:rsid w:val="00413109"/>
    <w:rsid w:val="00414463"/>
    <w:rsid w:val="00422B33"/>
    <w:rsid w:val="00423C8B"/>
    <w:rsid w:val="00451F20"/>
    <w:rsid w:val="0045350D"/>
    <w:rsid w:val="00480977"/>
    <w:rsid w:val="004824D5"/>
    <w:rsid w:val="00483EC9"/>
    <w:rsid w:val="00487662"/>
    <w:rsid w:val="00495736"/>
    <w:rsid w:val="00497E91"/>
    <w:rsid w:val="004A6A13"/>
    <w:rsid w:val="004A7D0A"/>
    <w:rsid w:val="004B238D"/>
    <w:rsid w:val="004B3EA2"/>
    <w:rsid w:val="004B595E"/>
    <w:rsid w:val="004B66A9"/>
    <w:rsid w:val="004C0474"/>
    <w:rsid w:val="004D2A57"/>
    <w:rsid w:val="004D2FEF"/>
    <w:rsid w:val="004D68B9"/>
    <w:rsid w:val="004E3B34"/>
    <w:rsid w:val="004E46E0"/>
    <w:rsid w:val="004E6143"/>
    <w:rsid w:val="004F2BF2"/>
    <w:rsid w:val="00501CC0"/>
    <w:rsid w:val="005125EF"/>
    <w:rsid w:val="00515070"/>
    <w:rsid w:val="0052103B"/>
    <w:rsid w:val="00522300"/>
    <w:rsid w:val="00525CDC"/>
    <w:rsid w:val="00530DB9"/>
    <w:rsid w:val="005431F0"/>
    <w:rsid w:val="00546F4A"/>
    <w:rsid w:val="00554C3B"/>
    <w:rsid w:val="00555A02"/>
    <w:rsid w:val="005622F2"/>
    <w:rsid w:val="00570B3B"/>
    <w:rsid w:val="00582FB5"/>
    <w:rsid w:val="00590A68"/>
    <w:rsid w:val="005912B3"/>
    <w:rsid w:val="00595DC1"/>
    <w:rsid w:val="005B1D36"/>
    <w:rsid w:val="005C06E5"/>
    <w:rsid w:val="005C2EB9"/>
    <w:rsid w:val="005D4A70"/>
    <w:rsid w:val="005D636A"/>
    <w:rsid w:val="005E2355"/>
    <w:rsid w:val="005E50A4"/>
    <w:rsid w:val="005F5760"/>
    <w:rsid w:val="005F642C"/>
    <w:rsid w:val="00617996"/>
    <w:rsid w:val="006244AC"/>
    <w:rsid w:val="00634C7C"/>
    <w:rsid w:val="0063568E"/>
    <w:rsid w:val="00640F00"/>
    <w:rsid w:val="006455CD"/>
    <w:rsid w:val="006465F8"/>
    <w:rsid w:val="00652CD9"/>
    <w:rsid w:val="0066004B"/>
    <w:rsid w:val="00670556"/>
    <w:rsid w:val="00676BD0"/>
    <w:rsid w:val="00686C1B"/>
    <w:rsid w:val="00694714"/>
    <w:rsid w:val="006C2EB0"/>
    <w:rsid w:val="006D119C"/>
    <w:rsid w:val="006D502E"/>
    <w:rsid w:val="006D5AE4"/>
    <w:rsid w:val="006D6D46"/>
    <w:rsid w:val="006E4E3C"/>
    <w:rsid w:val="006F095D"/>
    <w:rsid w:val="006F12D5"/>
    <w:rsid w:val="006F2BF4"/>
    <w:rsid w:val="00701186"/>
    <w:rsid w:val="007063CE"/>
    <w:rsid w:val="007112AF"/>
    <w:rsid w:val="00715615"/>
    <w:rsid w:val="007206A4"/>
    <w:rsid w:val="00724FAB"/>
    <w:rsid w:val="0073048B"/>
    <w:rsid w:val="00731EC7"/>
    <w:rsid w:val="0073356A"/>
    <w:rsid w:val="00734309"/>
    <w:rsid w:val="0073575F"/>
    <w:rsid w:val="007358DD"/>
    <w:rsid w:val="007417F8"/>
    <w:rsid w:val="00747DF1"/>
    <w:rsid w:val="0075286A"/>
    <w:rsid w:val="00756DF0"/>
    <w:rsid w:val="00763A0A"/>
    <w:rsid w:val="007645F8"/>
    <w:rsid w:val="00772DB6"/>
    <w:rsid w:val="00780262"/>
    <w:rsid w:val="00781DEB"/>
    <w:rsid w:val="00782EF0"/>
    <w:rsid w:val="00783746"/>
    <w:rsid w:val="0079109A"/>
    <w:rsid w:val="00796F12"/>
    <w:rsid w:val="007A111B"/>
    <w:rsid w:val="007A4161"/>
    <w:rsid w:val="007C4663"/>
    <w:rsid w:val="007D062C"/>
    <w:rsid w:val="007D3CA1"/>
    <w:rsid w:val="007E305E"/>
    <w:rsid w:val="007E7029"/>
    <w:rsid w:val="007F460D"/>
    <w:rsid w:val="007F6E46"/>
    <w:rsid w:val="0080678B"/>
    <w:rsid w:val="00822B49"/>
    <w:rsid w:val="008236EF"/>
    <w:rsid w:val="00824308"/>
    <w:rsid w:val="0082469E"/>
    <w:rsid w:val="00831DE9"/>
    <w:rsid w:val="008357A9"/>
    <w:rsid w:val="008516BB"/>
    <w:rsid w:val="008708AF"/>
    <w:rsid w:val="0088205F"/>
    <w:rsid w:val="0088233B"/>
    <w:rsid w:val="00890C14"/>
    <w:rsid w:val="00892F1C"/>
    <w:rsid w:val="008D7136"/>
    <w:rsid w:val="008E5F40"/>
    <w:rsid w:val="008F2CEE"/>
    <w:rsid w:val="008F63B5"/>
    <w:rsid w:val="008F6AC2"/>
    <w:rsid w:val="00900452"/>
    <w:rsid w:val="0090516B"/>
    <w:rsid w:val="00905803"/>
    <w:rsid w:val="00914802"/>
    <w:rsid w:val="00922A4D"/>
    <w:rsid w:val="0092704E"/>
    <w:rsid w:val="00930ACA"/>
    <w:rsid w:val="009341D8"/>
    <w:rsid w:val="009377FA"/>
    <w:rsid w:val="00937BA4"/>
    <w:rsid w:val="0094209C"/>
    <w:rsid w:val="00943980"/>
    <w:rsid w:val="0094544B"/>
    <w:rsid w:val="00951B2F"/>
    <w:rsid w:val="00965187"/>
    <w:rsid w:val="00976445"/>
    <w:rsid w:val="00983C9C"/>
    <w:rsid w:val="009A0373"/>
    <w:rsid w:val="009B38F2"/>
    <w:rsid w:val="009C1129"/>
    <w:rsid w:val="009C3BBC"/>
    <w:rsid w:val="009D02DE"/>
    <w:rsid w:val="009D1BEB"/>
    <w:rsid w:val="009D52AE"/>
    <w:rsid w:val="009D5CB0"/>
    <w:rsid w:val="009D784D"/>
    <w:rsid w:val="009F75F5"/>
    <w:rsid w:val="00A15C30"/>
    <w:rsid w:val="00A20B26"/>
    <w:rsid w:val="00A26422"/>
    <w:rsid w:val="00A5296E"/>
    <w:rsid w:val="00A54099"/>
    <w:rsid w:val="00A61DDB"/>
    <w:rsid w:val="00A80450"/>
    <w:rsid w:val="00A87B5D"/>
    <w:rsid w:val="00A91799"/>
    <w:rsid w:val="00AA0F62"/>
    <w:rsid w:val="00AB3677"/>
    <w:rsid w:val="00AC1E86"/>
    <w:rsid w:val="00AD697E"/>
    <w:rsid w:val="00AD7E9F"/>
    <w:rsid w:val="00AE33C8"/>
    <w:rsid w:val="00AE55BD"/>
    <w:rsid w:val="00AE7858"/>
    <w:rsid w:val="00AE7D18"/>
    <w:rsid w:val="00AF5A2B"/>
    <w:rsid w:val="00B01954"/>
    <w:rsid w:val="00B11168"/>
    <w:rsid w:val="00B117FD"/>
    <w:rsid w:val="00B14825"/>
    <w:rsid w:val="00B34989"/>
    <w:rsid w:val="00B356D9"/>
    <w:rsid w:val="00B46871"/>
    <w:rsid w:val="00B475FD"/>
    <w:rsid w:val="00B62755"/>
    <w:rsid w:val="00B75886"/>
    <w:rsid w:val="00B762B4"/>
    <w:rsid w:val="00B9463B"/>
    <w:rsid w:val="00B9540F"/>
    <w:rsid w:val="00B96810"/>
    <w:rsid w:val="00BA1DC6"/>
    <w:rsid w:val="00BB67E3"/>
    <w:rsid w:val="00BF19DD"/>
    <w:rsid w:val="00C30A01"/>
    <w:rsid w:val="00C46272"/>
    <w:rsid w:val="00C57F3C"/>
    <w:rsid w:val="00C67B67"/>
    <w:rsid w:val="00C738F2"/>
    <w:rsid w:val="00C829B0"/>
    <w:rsid w:val="00C8339B"/>
    <w:rsid w:val="00C940A3"/>
    <w:rsid w:val="00CB6311"/>
    <w:rsid w:val="00CC107F"/>
    <w:rsid w:val="00CC26F4"/>
    <w:rsid w:val="00CC6223"/>
    <w:rsid w:val="00CC76FE"/>
    <w:rsid w:val="00CD380E"/>
    <w:rsid w:val="00CD77F1"/>
    <w:rsid w:val="00CF055A"/>
    <w:rsid w:val="00CF2646"/>
    <w:rsid w:val="00D0749C"/>
    <w:rsid w:val="00D077FE"/>
    <w:rsid w:val="00D15888"/>
    <w:rsid w:val="00D26792"/>
    <w:rsid w:val="00D27289"/>
    <w:rsid w:val="00D30C65"/>
    <w:rsid w:val="00D31CB0"/>
    <w:rsid w:val="00D3390B"/>
    <w:rsid w:val="00D37643"/>
    <w:rsid w:val="00D455D3"/>
    <w:rsid w:val="00D50066"/>
    <w:rsid w:val="00D65FD4"/>
    <w:rsid w:val="00D70FCD"/>
    <w:rsid w:val="00D72DF6"/>
    <w:rsid w:val="00D920B9"/>
    <w:rsid w:val="00D94B61"/>
    <w:rsid w:val="00DA1854"/>
    <w:rsid w:val="00DA3A1C"/>
    <w:rsid w:val="00DB1BEE"/>
    <w:rsid w:val="00DC5059"/>
    <w:rsid w:val="00DD14A4"/>
    <w:rsid w:val="00DE1D98"/>
    <w:rsid w:val="00DE28B0"/>
    <w:rsid w:val="00DF1E04"/>
    <w:rsid w:val="00DF382D"/>
    <w:rsid w:val="00DF3B1F"/>
    <w:rsid w:val="00DF65B7"/>
    <w:rsid w:val="00E228CA"/>
    <w:rsid w:val="00E22BFA"/>
    <w:rsid w:val="00E26E99"/>
    <w:rsid w:val="00E27E16"/>
    <w:rsid w:val="00E36F73"/>
    <w:rsid w:val="00E63814"/>
    <w:rsid w:val="00E65BB7"/>
    <w:rsid w:val="00E9096D"/>
    <w:rsid w:val="00E92A15"/>
    <w:rsid w:val="00EA2CB6"/>
    <w:rsid w:val="00EA6EFC"/>
    <w:rsid w:val="00EB481F"/>
    <w:rsid w:val="00EB7244"/>
    <w:rsid w:val="00EC23DB"/>
    <w:rsid w:val="00EC3484"/>
    <w:rsid w:val="00ED2A53"/>
    <w:rsid w:val="00EF1F49"/>
    <w:rsid w:val="00F07A46"/>
    <w:rsid w:val="00F13098"/>
    <w:rsid w:val="00F138B2"/>
    <w:rsid w:val="00F17FBD"/>
    <w:rsid w:val="00F24576"/>
    <w:rsid w:val="00F26039"/>
    <w:rsid w:val="00F2722C"/>
    <w:rsid w:val="00F32E8D"/>
    <w:rsid w:val="00F4222B"/>
    <w:rsid w:val="00F50040"/>
    <w:rsid w:val="00F627B4"/>
    <w:rsid w:val="00F63734"/>
    <w:rsid w:val="00F656A1"/>
    <w:rsid w:val="00F83C5A"/>
    <w:rsid w:val="00F91525"/>
    <w:rsid w:val="00FA451A"/>
    <w:rsid w:val="00FA48A0"/>
    <w:rsid w:val="00FB1DEC"/>
    <w:rsid w:val="00FB4486"/>
    <w:rsid w:val="00FC08B0"/>
    <w:rsid w:val="00FD33DD"/>
    <w:rsid w:val="00FD7542"/>
    <w:rsid w:val="00FD7DEC"/>
    <w:rsid w:val="00FE1141"/>
    <w:rsid w:val="00FE3816"/>
    <w:rsid w:val="00FE6582"/>
    <w:rsid w:val="00FF1F7C"/>
    <w:rsid w:val="00FF26A2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8EB82207-996F-8042-861E-42E8373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paragraph" w:styleId="Citazione">
    <w:name w:val="Quote"/>
    <w:basedOn w:val="Normale"/>
    <w:next w:val="Normale"/>
    <w:link w:val="CitazioneCarattere"/>
    <w:qFormat/>
    <w:rsid w:val="003B4CF4"/>
    <w:rPr>
      <w:i/>
      <w:iCs/>
      <w:color w:val="000000"/>
      <w:lang w:val="x-none" w:eastAsia="x-none"/>
    </w:rPr>
  </w:style>
  <w:style w:type="character" w:customStyle="1" w:styleId="CitazioneCarattere">
    <w:name w:val="Citazione Carattere"/>
    <w:basedOn w:val="Carpredefinitoparagrafo"/>
    <w:link w:val="Citazione"/>
    <w:rsid w:val="003B4CF4"/>
    <w:rPr>
      <w:rFonts w:ascii="Book Antiqua" w:eastAsia="Times New Roman" w:hAnsi="Book Antiqua" w:cs="Times New Roman"/>
      <w:i/>
      <w:iCs/>
      <w:color w:val="000000"/>
      <w:sz w:val="20"/>
      <w:szCs w:val="20"/>
      <w:lang w:val="x-none" w:eastAsia="x-none"/>
    </w:rPr>
  </w:style>
  <w:style w:type="character" w:customStyle="1" w:styleId="testinogrigio">
    <w:name w:val="testinogrigio"/>
    <w:rsid w:val="00F4222B"/>
    <w:rPr>
      <w:rFonts w:ascii="Verdana" w:hAnsi="Verdana" w:hint="default"/>
      <w:b w:val="0"/>
      <w:bCs w:val="0"/>
      <w:i w:val="0"/>
      <w:iCs w:val="0"/>
      <w:color w:val="444444"/>
      <w:sz w:val="28"/>
      <w:szCs w:val="2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8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3157-3931-4FB1-A4F8-A4877A6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14</cp:revision>
  <cp:lastPrinted>2019-12-20T08:30:00Z</cp:lastPrinted>
  <dcterms:created xsi:type="dcterms:W3CDTF">2020-01-10T16:22:00Z</dcterms:created>
  <dcterms:modified xsi:type="dcterms:W3CDTF">2020-01-20T19:32:00Z</dcterms:modified>
</cp:coreProperties>
</file>