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8B" w:rsidRDefault="00851311">
      <w:pPr>
        <w:rPr>
          <w:b/>
          <w:lang w:val="it-IT"/>
        </w:rPr>
      </w:pPr>
      <w:r>
        <w:rPr>
          <w:b/>
          <w:lang w:val="it-IT"/>
        </w:rPr>
        <w:t>Traccia</w:t>
      </w:r>
      <w:r w:rsidR="00D012DE" w:rsidRPr="00D012DE">
        <w:rPr>
          <w:b/>
          <w:lang w:val="it-IT"/>
        </w:rPr>
        <w:t xml:space="preserve"> lezion</w:t>
      </w:r>
      <w:r w:rsidR="007F40F1">
        <w:rPr>
          <w:b/>
          <w:lang w:val="it-IT"/>
        </w:rPr>
        <w:t>i</w:t>
      </w:r>
      <w:r w:rsidR="00D012DE" w:rsidRPr="00D012DE">
        <w:rPr>
          <w:b/>
          <w:lang w:val="it-IT"/>
        </w:rPr>
        <w:t xml:space="preserve"> DL 2</w:t>
      </w:r>
      <w:r w:rsidR="00705DB2">
        <w:rPr>
          <w:b/>
          <w:lang w:val="it-IT"/>
        </w:rPr>
        <w:t>9</w:t>
      </w:r>
      <w:r w:rsidR="007F40F1">
        <w:rPr>
          <w:b/>
          <w:lang w:val="it-IT"/>
        </w:rPr>
        <w:t>-30</w:t>
      </w:r>
      <w:r w:rsidR="00D012DE" w:rsidRPr="00D012DE">
        <w:rPr>
          <w:b/>
          <w:lang w:val="it-IT"/>
        </w:rPr>
        <w:t>.10.2018</w:t>
      </w:r>
    </w:p>
    <w:p w:rsidR="00D012DE" w:rsidRDefault="00D012DE">
      <w:pPr>
        <w:rPr>
          <w:b/>
          <w:lang w:val="it-IT"/>
        </w:rPr>
      </w:pPr>
      <w:r>
        <w:rPr>
          <w:b/>
          <w:lang w:val="it-IT"/>
        </w:rPr>
        <w:t>Argoment</w:t>
      </w:r>
      <w:r w:rsidR="007F40F1">
        <w:rPr>
          <w:b/>
          <w:lang w:val="it-IT"/>
        </w:rPr>
        <w:t>i</w:t>
      </w:r>
      <w:r>
        <w:rPr>
          <w:b/>
          <w:lang w:val="it-IT"/>
        </w:rPr>
        <w:t>: l</w:t>
      </w:r>
      <w:r w:rsidR="00705DB2">
        <w:rPr>
          <w:b/>
          <w:lang w:val="it-IT"/>
        </w:rPr>
        <w:t>’efficacia soggettiva del contratto collettivo</w:t>
      </w:r>
      <w:r w:rsidR="007F40F1">
        <w:rPr>
          <w:b/>
          <w:lang w:val="it-IT"/>
        </w:rPr>
        <w:t>; la successione tra CCL di eguale livello; il concorso-conflitto tra CCL di diverso livello; l’inderogabilità del CCL rispetto al contratto individuale (rinvio); la contrattazione collettiva nel lavoro pubblico (cenni).</w:t>
      </w:r>
    </w:p>
    <w:p w:rsidR="007F40F1" w:rsidRDefault="007F40F1" w:rsidP="007F40F1">
      <w:pPr>
        <w:jc w:val="center"/>
        <w:rPr>
          <w:lang w:val="it-IT"/>
        </w:rPr>
      </w:pPr>
      <w:r>
        <w:rPr>
          <w:lang w:val="it-IT"/>
        </w:rPr>
        <w:t>***</w:t>
      </w:r>
    </w:p>
    <w:p w:rsidR="00666C14" w:rsidRDefault="007F40F1" w:rsidP="00D012DE">
      <w:pPr>
        <w:jc w:val="both"/>
        <w:rPr>
          <w:lang w:val="it-IT"/>
        </w:rPr>
      </w:pPr>
      <w:r>
        <w:rPr>
          <w:lang w:val="it-IT"/>
        </w:rPr>
        <w:t xml:space="preserve">Che </w:t>
      </w:r>
      <w:r w:rsidR="00666C14">
        <w:rPr>
          <w:lang w:val="it-IT"/>
        </w:rPr>
        <w:t>cosa si intende con efficacia soggettiva del CCL</w:t>
      </w:r>
      <w:r>
        <w:rPr>
          <w:lang w:val="it-IT"/>
        </w:rPr>
        <w:t>.</w:t>
      </w:r>
      <w:bookmarkStart w:id="0" w:name="_GoBack"/>
      <w:bookmarkEnd w:id="0"/>
    </w:p>
    <w:p w:rsidR="00666C14" w:rsidRPr="00666C14" w:rsidRDefault="00666C14" w:rsidP="00D012DE">
      <w:pPr>
        <w:jc w:val="both"/>
        <w:rPr>
          <w:u w:val="single"/>
          <w:lang w:val="it-IT"/>
        </w:rPr>
      </w:pPr>
      <w:r w:rsidRPr="00666C14">
        <w:rPr>
          <w:u w:val="single"/>
          <w:lang w:val="it-IT"/>
        </w:rPr>
        <w:t>L’efficacia soggettiva del CCNL</w:t>
      </w:r>
    </w:p>
    <w:p w:rsidR="00D012DE" w:rsidRDefault="00666C14" w:rsidP="00D012DE">
      <w:pPr>
        <w:jc w:val="both"/>
        <w:rPr>
          <w:lang w:val="it-IT"/>
        </w:rPr>
      </w:pPr>
      <w:r>
        <w:rPr>
          <w:lang w:val="it-IT"/>
        </w:rPr>
        <w:t>Due direzioni, una attuale, una ancora futuribile: 1) l’efficacia soggettiva del CCNL secondo i canoni privatistici; 2) l’efficacia del CCNL nel TU Rappresentanza</w:t>
      </w:r>
      <w:r w:rsidR="007F40F1">
        <w:rPr>
          <w:lang w:val="it-IT"/>
        </w:rPr>
        <w:t>.</w:t>
      </w:r>
      <w:r>
        <w:rPr>
          <w:lang w:val="it-IT"/>
        </w:rPr>
        <w:t xml:space="preserve"> </w:t>
      </w:r>
    </w:p>
    <w:p w:rsidR="00666C14" w:rsidRDefault="00666C14" w:rsidP="00666C14">
      <w:pPr>
        <w:pStyle w:val="Paragrafoelenco"/>
        <w:numPr>
          <w:ilvl w:val="0"/>
          <w:numId w:val="2"/>
        </w:numPr>
        <w:ind w:left="0" w:firstLine="0"/>
        <w:jc w:val="both"/>
        <w:rPr>
          <w:u w:val="single"/>
          <w:lang w:val="it-IT"/>
        </w:rPr>
      </w:pPr>
      <w:r>
        <w:rPr>
          <w:u w:val="single"/>
          <w:lang w:val="it-IT"/>
        </w:rPr>
        <w:t>L’efficacia del CCNL secondo i canoni privatistici</w:t>
      </w:r>
    </w:p>
    <w:p w:rsidR="00666C14" w:rsidRDefault="00666C14" w:rsidP="00666C14">
      <w:pPr>
        <w:pStyle w:val="Paragrafoelenco"/>
        <w:ind w:left="0"/>
        <w:jc w:val="both"/>
        <w:rPr>
          <w:u w:val="single"/>
          <w:lang w:val="it-IT"/>
        </w:rPr>
      </w:pPr>
    </w:p>
    <w:p w:rsidR="00666C14" w:rsidRDefault="00666C14" w:rsidP="00666C14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L’adesione a un sindacato come atto di conferimento di un potere di rappresentanza</w:t>
      </w:r>
      <w:r w:rsidR="007F40F1">
        <w:rPr>
          <w:lang w:val="it-IT"/>
        </w:rPr>
        <w:t>.</w:t>
      </w:r>
    </w:p>
    <w:p w:rsidR="00666C14" w:rsidRDefault="00666C14" w:rsidP="00666C14">
      <w:pPr>
        <w:pStyle w:val="Paragrafoelenco"/>
        <w:ind w:left="0"/>
        <w:jc w:val="both"/>
        <w:rPr>
          <w:lang w:val="it-IT"/>
        </w:rPr>
      </w:pPr>
    </w:p>
    <w:p w:rsidR="00666C14" w:rsidRPr="00666C14" w:rsidRDefault="00666C14" w:rsidP="00666C14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Forzatura e utilità del ricorso alla categoria della rappresentanza. Concetto-tramite: quello di tutela dell’”interesse collettivo” dei lavoratori.</w:t>
      </w:r>
    </w:p>
    <w:p w:rsidR="00666C14" w:rsidRDefault="00666C14" w:rsidP="00D012DE">
      <w:pPr>
        <w:jc w:val="both"/>
        <w:rPr>
          <w:lang w:val="it-IT"/>
        </w:rPr>
      </w:pPr>
      <w:r>
        <w:rPr>
          <w:lang w:val="it-IT"/>
        </w:rPr>
        <w:t>Concezioni privatistiche che fanno a meno della rappresentanza (Persiani).</w:t>
      </w:r>
    </w:p>
    <w:p w:rsidR="00666C14" w:rsidRPr="00666C14" w:rsidRDefault="00666C14" w:rsidP="00D012DE">
      <w:pPr>
        <w:jc w:val="both"/>
        <w:rPr>
          <w:lang w:val="it-IT"/>
        </w:rPr>
      </w:pPr>
      <w:r>
        <w:rPr>
          <w:lang w:val="it-IT"/>
        </w:rPr>
        <w:t>L’efficacia soggettiva dal lato del datore di lavoro (con parallela emarginazione dell’art. 2070, c.c.)</w:t>
      </w:r>
      <w:r w:rsidR="007F40F1">
        <w:rPr>
          <w:lang w:val="it-IT"/>
        </w:rPr>
        <w:t>.</w:t>
      </w:r>
    </w:p>
    <w:p w:rsidR="00666C14" w:rsidRDefault="00666C14" w:rsidP="00D012DE">
      <w:pPr>
        <w:jc w:val="both"/>
        <w:rPr>
          <w:lang w:val="it-IT"/>
        </w:rPr>
      </w:pPr>
      <w:r>
        <w:rPr>
          <w:lang w:val="it-IT"/>
        </w:rPr>
        <w:t>L’efficacia soggettiva dal lato del lavoratore</w:t>
      </w:r>
      <w:r w:rsidR="007F40F1">
        <w:rPr>
          <w:lang w:val="it-IT"/>
        </w:rPr>
        <w:t>.</w:t>
      </w:r>
    </w:p>
    <w:p w:rsidR="00F54A3F" w:rsidRDefault="00666C14" w:rsidP="00D012DE">
      <w:pPr>
        <w:jc w:val="both"/>
        <w:rPr>
          <w:lang w:val="it-IT"/>
        </w:rPr>
      </w:pPr>
      <w:r>
        <w:rPr>
          <w:lang w:val="it-IT"/>
        </w:rPr>
        <w:t xml:space="preserve">I dispositivi di estensione dell’efficacia soggettiva: CCL come contratto aperto; </w:t>
      </w:r>
      <w:r w:rsidR="00F54A3F">
        <w:rPr>
          <w:lang w:val="it-IT"/>
        </w:rPr>
        <w:t>caso dell’impresa non iscritta ma che applica di fatto il CCNL; applicazione a tutti i lavoratori del principio della “retribuzione sufficiente” e sua relazione con le tariffe retributive previste dal CCNL; norme legali di rinvio.</w:t>
      </w:r>
    </w:p>
    <w:p w:rsidR="00666C14" w:rsidRDefault="00F54A3F" w:rsidP="00F54A3F">
      <w:pPr>
        <w:pStyle w:val="Paragrafoelenco"/>
        <w:numPr>
          <w:ilvl w:val="0"/>
          <w:numId w:val="2"/>
        </w:numPr>
        <w:ind w:left="0" w:firstLine="0"/>
        <w:jc w:val="both"/>
        <w:rPr>
          <w:u w:val="single"/>
          <w:lang w:val="it-IT"/>
        </w:rPr>
      </w:pPr>
      <w:r w:rsidRPr="00F54A3F">
        <w:rPr>
          <w:u w:val="single"/>
          <w:lang w:val="it-IT"/>
        </w:rPr>
        <w:t xml:space="preserve">L’efficacia del CCNL nel TU Rappresentanza </w:t>
      </w:r>
    </w:p>
    <w:p w:rsidR="00F54A3F" w:rsidRDefault="00F54A3F" w:rsidP="00F54A3F">
      <w:pPr>
        <w:pStyle w:val="Paragrafoelenco"/>
        <w:ind w:left="0"/>
        <w:jc w:val="both"/>
        <w:rPr>
          <w:u w:val="single"/>
          <w:lang w:val="it-IT"/>
        </w:rPr>
      </w:pPr>
    </w:p>
    <w:p w:rsidR="00F54A3F" w:rsidRDefault="00F54A3F" w:rsidP="00F54A3F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Delimitazione dell’ambito di ciascun CCNL, cioè censimento delle imprese che applicano ciascun CCNL</w:t>
      </w:r>
      <w:r w:rsidR="007F40F1">
        <w:rPr>
          <w:lang w:val="it-IT"/>
        </w:rPr>
        <w:t>.</w:t>
      </w:r>
    </w:p>
    <w:p w:rsidR="00F54A3F" w:rsidRDefault="00F54A3F" w:rsidP="00F54A3F">
      <w:pPr>
        <w:pStyle w:val="Paragrafoelenco"/>
        <w:ind w:left="0"/>
        <w:jc w:val="both"/>
        <w:rPr>
          <w:lang w:val="it-IT"/>
        </w:rPr>
      </w:pPr>
    </w:p>
    <w:p w:rsidR="00F54A3F" w:rsidRDefault="00F54A3F" w:rsidP="00F54A3F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Misurazione della rappresentatività dei sindacati (cioè del consenso che raccolgono tra i lavoratori) entro tale ambito.</w:t>
      </w:r>
    </w:p>
    <w:p w:rsidR="00F54A3F" w:rsidRDefault="00F54A3F" w:rsidP="00F54A3F">
      <w:pPr>
        <w:pStyle w:val="Paragrafoelenco"/>
        <w:ind w:left="0"/>
        <w:jc w:val="both"/>
        <w:rPr>
          <w:lang w:val="it-IT"/>
        </w:rPr>
      </w:pPr>
    </w:p>
    <w:p w:rsidR="00F54A3F" w:rsidRDefault="00F54A3F" w:rsidP="00F54A3F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I due criteri di misurazione: numero degli iscritti; voti ottenuti da ciascun sindacato nelle elezioni della RSU</w:t>
      </w:r>
    </w:p>
    <w:p w:rsidR="00F54A3F" w:rsidRDefault="00F54A3F" w:rsidP="00F54A3F">
      <w:pPr>
        <w:pStyle w:val="Paragrafoelenco"/>
        <w:ind w:left="0"/>
        <w:jc w:val="both"/>
        <w:rPr>
          <w:lang w:val="it-IT"/>
        </w:rPr>
      </w:pPr>
    </w:p>
    <w:p w:rsidR="00F54A3F" w:rsidRDefault="00F54A3F" w:rsidP="00F54A3F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Media tra i due punteggi</w:t>
      </w:r>
      <w:r w:rsidR="007F40F1">
        <w:rPr>
          <w:lang w:val="it-IT"/>
        </w:rPr>
        <w:t>.</w:t>
      </w:r>
    </w:p>
    <w:p w:rsidR="00F54A3F" w:rsidRDefault="00F54A3F" w:rsidP="00F54A3F">
      <w:pPr>
        <w:pStyle w:val="Paragrafoelenco"/>
        <w:ind w:left="0"/>
        <w:jc w:val="both"/>
        <w:rPr>
          <w:lang w:val="it-IT"/>
        </w:rPr>
      </w:pPr>
    </w:p>
    <w:p w:rsidR="00F54A3F" w:rsidRDefault="00F54A3F" w:rsidP="00F54A3F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 xml:space="preserve">A che cosa serve la misurazione: </w:t>
      </w:r>
      <w:r w:rsidR="00253728">
        <w:rPr>
          <w:lang w:val="it-IT"/>
        </w:rPr>
        <w:t>accesso al tavolo contrattuale (5%); stipulazione CCNL (50+1%)</w:t>
      </w:r>
      <w:r w:rsidR="007F40F1">
        <w:rPr>
          <w:lang w:val="it-IT"/>
        </w:rPr>
        <w:t>.</w:t>
      </w:r>
    </w:p>
    <w:p w:rsidR="00253728" w:rsidRDefault="00253728" w:rsidP="00F54A3F">
      <w:pPr>
        <w:pStyle w:val="Paragrafoelenco"/>
        <w:ind w:left="0"/>
        <w:jc w:val="both"/>
        <w:rPr>
          <w:lang w:val="it-IT"/>
        </w:rPr>
      </w:pPr>
    </w:p>
    <w:p w:rsidR="00253728" w:rsidRDefault="00253728" w:rsidP="00F54A3F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Il CCNL sottoscritto dai sindacati che rappresentano la maggioranza dei lavoratori è esigibile anche nei confronti dei sindacati dissenzienti ed è efficace verso tutti i lavoratori iscritti ad associazioni imprenditoriali firmatarie del TU, anche se iscritti a un’associazione sindacale non firmataria del CCNL e in dissenso rispetto a esso.</w:t>
      </w:r>
    </w:p>
    <w:p w:rsidR="00253728" w:rsidRDefault="00253728" w:rsidP="00F54A3F">
      <w:pPr>
        <w:pStyle w:val="Paragrafoelenco"/>
        <w:ind w:left="0"/>
        <w:jc w:val="both"/>
        <w:rPr>
          <w:lang w:val="it-IT"/>
        </w:rPr>
      </w:pPr>
    </w:p>
    <w:p w:rsidR="00253728" w:rsidRDefault="00253728" w:rsidP="00F54A3F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lastRenderedPageBreak/>
        <w:t xml:space="preserve">Non è però un vero “erga </w:t>
      </w:r>
      <w:proofErr w:type="spellStart"/>
      <w:r>
        <w:rPr>
          <w:lang w:val="it-IT"/>
        </w:rPr>
        <w:t>omnes</w:t>
      </w:r>
      <w:proofErr w:type="spellEnd"/>
      <w:r>
        <w:rPr>
          <w:lang w:val="it-IT"/>
        </w:rPr>
        <w:t>” perché, derivando da un accordo e non da una legge, è circoscritto alle associazioni sindacali firmatarie del TU o che vi abbiano aderito, e alle imprese affiliate alle associazioni datoriali firmatarie del TU.</w:t>
      </w:r>
    </w:p>
    <w:p w:rsidR="00253728" w:rsidRDefault="00253728" w:rsidP="00F54A3F">
      <w:pPr>
        <w:pStyle w:val="Paragrafoelenco"/>
        <w:ind w:left="0"/>
        <w:jc w:val="both"/>
        <w:rPr>
          <w:lang w:val="it-IT"/>
        </w:rPr>
      </w:pPr>
    </w:p>
    <w:p w:rsidR="00253728" w:rsidRPr="00F54A3F" w:rsidRDefault="00253728" w:rsidP="00253728">
      <w:pPr>
        <w:pStyle w:val="Paragrafoelenco"/>
        <w:ind w:left="0"/>
        <w:jc w:val="center"/>
        <w:rPr>
          <w:lang w:val="it-IT"/>
        </w:rPr>
      </w:pPr>
      <w:r>
        <w:rPr>
          <w:lang w:val="it-IT"/>
        </w:rPr>
        <w:t>*</w:t>
      </w:r>
    </w:p>
    <w:p w:rsidR="00666C14" w:rsidRDefault="00253728" w:rsidP="00D012DE">
      <w:pPr>
        <w:jc w:val="both"/>
        <w:rPr>
          <w:u w:val="single"/>
          <w:lang w:val="it-IT"/>
        </w:rPr>
      </w:pPr>
      <w:r w:rsidRPr="00253728">
        <w:rPr>
          <w:u w:val="single"/>
          <w:lang w:val="it-IT"/>
        </w:rPr>
        <w:t>L’efficacia soggettiva del CCL aziendale</w:t>
      </w:r>
    </w:p>
    <w:p w:rsidR="00253728" w:rsidRDefault="00253728" w:rsidP="00253728">
      <w:pPr>
        <w:pStyle w:val="Paragrafoelenco"/>
        <w:numPr>
          <w:ilvl w:val="0"/>
          <w:numId w:val="3"/>
        </w:numPr>
        <w:ind w:left="0" w:firstLine="0"/>
        <w:jc w:val="both"/>
        <w:rPr>
          <w:u w:val="single"/>
          <w:lang w:val="it-IT"/>
        </w:rPr>
      </w:pPr>
      <w:r>
        <w:rPr>
          <w:u w:val="single"/>
          <w:lang w:val="it-IT"/>
        </w:rPr>
        <w:t>L’efficacia del CCL aziendale secondo i canoni privatistici</w:t>
      </w:r>
    </w:p>
    <w:p w:rsidR="00253728" w:rsidRDefault="00253728" w:rsidP="00253728">
      <w:pPr>
        <w:jc w:val="both"/>
        <w:rPr>
          <w:lang w:val="it-IT"/>
        </w:rPr>
      </w:pPr>
      <w:r w:rsidRPr="00253728">
        <w:rPr>
          <w:lang w:val="it-IT"/>
        </w:rPr>
        <w:t>Ricorso</w:t>
      </w:r>
      <w:r>
        <w:rPr>
          <w:lang w:val="it-IT"/>
        </w:rPr>
        <w:t xml:space="preserve"> a vari accorgimenti per arrivare all’obiettivo dell’efficacia generale</w:t>
      </w:r>
      <w:r w:rsidR="007F40F1">
        <w:rPr>
          <w:lang w:val="it-IT"/>
        </w:rPr>
        <w:t>.</w:t>
      </w:r>
    </w:p>
    <w:p w:rsidR="00253728" w:rsidRDefault="00253728" w:rsidP="00253728">
      <w:pPr>
        <w:pStyle w:val="Paragrafoelenco"/>
        <w:numPr>
          <w:ilvl w:val="0"/>
          <w:numId w:val="3"/>
        </w:numPr>
        <w:ind w:left="0" w:firstLine="0"/>
        <w:jc w:val="both"/>
        <w:rPr>
          <w:u w:val="single"/>
          <w:lang w:val="it-IT"/>
        </w:rPr>
      </w:pPr>
      <w:r w:rsidRPr="00253728">
        <w:rPr>
          <w:lang w:val="it-IT"/>
        </w:rPr>
        <w:t xml:space="preserve"> </w:t>
      </w:r>
      <w:r w:rsidRPr="00253728">
        <w:rPr>
          <w:u w:val="single"/>
          <w:lang w:val="it-IT"/>
        </w:rPr>
        <w:t>L’efficacia del CCL aziendale nel TU sulla Rappresentanza</w:t>
      </w:r>
    </w:p>
    <w:p w:rsidR="00253728" w:rsidRDefault="00253728" w:rsidP="00253728">
      <w:pPr>
        <w:pStyle w:val="Paragrafoelenco"/>
        <w:ind w:left="0"/>
        <w:jc w:val="both"/>
        <w:rPr>
          <w:u w:val="single"/>
          <w:lang w:val="it-IT"/>
        </w:rPr>
      </w:pPr>
    </w:p>
    <w:p w:rsidR="00253728" w:rsidRDefault="00253728" w:rsidP="00253728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Questa parte, a differenza di quella sul CCNL, è già operativa.</w:t>
      </w:r>
    </w:p>
    <w:p w:rsidR="00253728" w:rsidRDefault="00253728" w:rsidP="00253728">
      <w:pPr>
        <w:pStyle w:val="Paragrafoelenco"/>
        <w:ind w:left="0"/>
        <w:jc w:val="both"/>
        <w:rPr>
          <w:lang w:val="it-IT"/>
        </w:rPr>
      </w:pPr>
    </w:p>
    <w:p w:rsidR="00253728" w:rsidRDefault="00253728" w:rsidP="00253728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RSU: il CCL è efficace per tutti i lavoratori se è approvato dalla maggioranza semplice componenti</w:t>
      </w:r>
      <w:r w:rsidR="007F40F1">
        <w:rPr>
          <w:lang w:val="it-IT"/>
        </w:rPr>
        <w:t>.</w:t>
      </w:r>
    </w:p>
    <w:p w:rsidR="00253728" w:rsidRDefault="00253728" w:rsidP="00253728">
      <w:pPr>
        <w:pStyle w:val="Paragrafoelenco"/>
        <w:ind w:left="0"/>
        <w:jc w:val="both"/>
        <w:rPr>
          <w:lang w:val="it-IT"/>
        </w:rPr>
      </w:pPr>
    </w:p>
    <w:p w:rsidR="00F46C91" w:rsidRDefault="00253728" w:rsidP="00253728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 xml:space="preserve">RSA:  il CCL è efficace per tutti i lavoratori se è approvato dalla/e RSA costituite nell’ambito </w:t>
      </w:r>
      <w:r w:rsidR="00F46C91">
        <w:rPr>
          <w:lang w:val="it-IT"/>
        </w:rPr>
        <w:t>di sindacati maggioritari in quell’azienda, sulla base dei dati delle deleghe sindacali. Ma con possibilità, peraltro, che un sindacato dissenziente aderente a una delle confederazioni firmatarie del TU, o il 30% dei lavoratori, richieda un referendum.</w:t>
      </w:r>
    </w:p>
    <w:p w:rsidR="00F46C91" w:rsidRDefault="00F46C91" w:rsidP="00253728">
      <w:pPr>
        <w:pStyle w:val="Paragrafoelenco"/>
        <w:ind w:left="0"/>
        <w:jc w:val="both"/>
        <w:rPr>
          <w:lang w:val="it-IT"/>
        </w:rPr>
      </w:pPr>
    </w:p>
    <w:p w:rsidR="00F46C91" w:rsidRPr="00F46C91" w:rsidRDefault="00F46C91" w:rsidP="00F46C91">
      <w:pPr>
        <w:pStyle w:val="Paragrafoelenco"/>
        <w:numPr>
          <w:ilvl w:val="0"/>
          <w:numId w:val="3"/>
        </w:numPr>
        <w:ind w:left="0" w:firstLine="0"/>
        <w:jc w:val="both"/>
        <w:rPr>
          <w:u w:val="single"/>
          <w:lang w:val="it-IT"/>
        </w:rPr>
      </w:pPr>
      <w:r w:rsidRPr="00F46C91">
        <w:rPr>
          <w:u w:val="single"/>
          <w:lang w:val="it-IT"/>
        </w:rPr>
        <w:t>L’efficacia del CCL aziendale (e territoriale) nell’art. 8, l. n. 148/2011</w:t>
      </w:r>
    </w:p>
    <w:p w:rsidR="00F46C91" w:rsidRDefault="00F46C91" w:rsidP="00253728">
      <w:pPr>
        <w:pStyle w:val="Paragrafoelenco"/>
        <w:ind w:left="0"/>
        <w:jc w:val="both"/>
        <w:rPr>
          <w:lang w:val="it-IT"/>
        </w:rPr>
      </w:pPr>
    </w:p>
    <w:p w:rsidR="00F46C91" w:rsidRDefault="00F46C91" w:rsidP="00253728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Il CCL aziendale stipulato nel quadro dell’art. 8 è efficace verso tutti se è stipulato da associazioni sindacali comparativamente più rappresentative sul piano nazionale; dalle RSA maggioritarie, purché riconducibili alle predette associazioni sindacali; dalla maggioranza dei componenti della RSU.</w:t>
      </w:r>
    </w:p>
    <w:p w:rsidR="00F46C91" w:rsidRDefault="00F46C91" w:rsidP="00253728">
      <w:pPr>
        <w:pStyle w:val="Paragrafoelenco"/>
        <w:ind w:left="0"/>
        <w:jc w:val="both"/>
        <w:rPr>
          <w:lang w:val="it-IT"/>
        </w:rPr>
      </w:pPr>
    </w:p>
    <w:p w:rsidR="00F46C91" w:rsidRDefault="00F46C91" w:rsidP="00F46C91">
      <w:pPr>
        <w:pStyle w:val="Paragrafoelenco"/>
        <w:ind w:left="0"/>
        <w:jc w:val="center"/>
        <w:rPr>
          <w:lang w:val="it-IT"/>
        </w:rPr>
      </w:pPr>
      <w:r>
        <w:rPr>
          <w:lang w:val="it-IT"/>
        </w:rPr>
        <w:t>*</w:t>
      </w:r>
    </w:p>
    <w:p w:rsidR="00F46C91" w:rsidRDefault="00F46C91" w:rsidP="00F46C91">
      <w:pPr>
        <w:rPr>
          <w:u w:val="single"/>
          <w:lang w:val="it-IT"/>
        </w:rPr>
      </w:pPr>
      <w:r w:rsidRPr="00F46C91">
        <w:rPr>
          <w:u w:val="single"/>
          <w:lang w:val="it-IT"/>
        </w:rPr>
        <w:t>La successione temporale tra CCL di eguale livello</w:t>
      </w:r>
    </w:p>
    <w:p w:rsidR="00F46C91" w:rsidRDefault="00F46C91" w:rsidP="00F46C91">
      <w:pPr>
        <w:rPr>
          <w:lang w:val="it-IT"/>
        </w:rPr>
      </w:pPr>
      <w:r>
        <w:rPr>
          <w:lang w:val="it-IT"/>
        </w:rPr>
        <w:t>Il problema dei “diritti quesiti”</w:t>
      </w:r>
      <w:r w:rsidR="007F40F1">
        <w:rPr>
          <w:lang w:val="it-IT"/>
        </w:rPr>
        <w:t>: esistono o no?</w:t>
      </w:r>
    </w:p>
    <w:p w:rsidR="00F46C91" w:rsidRDefault="00F46C91" w:rsidP="00F46C91">
      <w:pPr>
        <w:jc w:val="center"/>
        <w:rPr>
          <w:lang w:val="it-IT"/>
        </w:rPr>
      </w:pPr>
      <w:r>
        <w:rPr>
          <w:lang w:val="it-IT"/>
        </w:rPr>
        <w:t>*</w:t>
      </w:r>
    </w:p>
    <w:p w:rsidR="00F46C91" w:rsidRDefault="00F46C91" w:rsidP="00F46C91">
      <w:pPr>
        <w:jc w:val="both"/>
        <w:rPr>
          <w:u w:val="single"/>
          <w:lang w:val="it-IT"/>
        </w:rPr>
      </w:pPr>
      <w:r w:rsidRPr="00F46C91">
        <w:rPr>
          <w:u w:val="single"/>
          <w:lang w:val="it-IT"/>
        </w:rPr>
        <w:t>Concorso e conflitto tra CCL di diverso livello</w:t>
      </w:r>
    </w:p>
    <w:p w:rsidR="00F46C91" w:rsidRDefault="00F46C91" w:rsidP="00F46C91">
      <w:pPr>
        <w:jc w:val="both"/>
        <w:rPr>
          <w:lang w:val="it-IT"/>
        </w:rPr>
      </w:pPr>
      <w:r>
        <w:rPr>
          <w:lang w:val="it-IT"/>
        </w:rPr>
        <w:t>Posizione del problema.</w:t>
      </w:r>
    </w:p>
    <w:p w:rsidR="00F46C91" w:rsidRPr="00F46C91" w:rsidRDefault="00F46C91" w:rsidP="00F46C91">
      <w:pPr>
        <w:jc w:val="both"/>
        <w:rPr>
          <w:lang w:val="it-IT"/>
        </w:rPr>
      </w:pPr>
      <w:r>
        <w:rPr>
          <w:lang w:val="it-IT"/>
        </w:rPr>
        <w:t xml:space="preserve">Prevalenza, in passato, del principio di inderogabilità </w:t>
      </w:r>
      <w:r w:rsidRPr="00F46C91">
        <w:rPr>
          <w:i/>
          <w:lang w:val="it-IT"/>
        </w:rPr>
        <w:t xml:space="preserve">in </w:t>
      </w:r>
      <w:proofErr w:type="spellStart"/>
      <w:r w:rsidRPr="00F46C91">
        <w:rPr>
          <w:i/>
          <w:lang w:val="it-IT"/>
        </w:rPr>
        <w:t>peius</w:t>
      </w:r>
      <w:proofErr w:type="spellEnd"/>
      <w:r>
        <w:rPr>
          <w:lang w:val="it-IT"/>
        </w:rPr>
        <w:t>.</w:t>
      </w:r>
    </w:p>
    <w:p w:rsidR="00F46C91" w:rsidRDefault="00F46C91" w:rsidP="00F46C91">
      <w:pPr>
        <w:jc w:val="both"/>
        <w:rPr>
          <w:lang w:val="it-IT"/>
        </w:rPr>
      </w:pPr>
      <w:r>
        <w:rPr>
          <w:lang w:val="it-IT"/>
        </w:rPr>
        <w:t xml:space="preserve">TU Rappresentanza: a) possibilità di stipulare contratti aziendali modificativi, nel rispetto dei limiti e delle procedure del CCNL; b) anche a prescindere dal CCNL, possibilità di stipulare i suddetti contratti nelle materie della prestazione lavorativa, degli orari e dell’organizzazione del lavoro (dunque non la retribuzione), </w:t>
      </w:r>
      <w:r w:rsidR="007F40F1">
        <w:rPr>
          <w:lang w:val="it-IT"/>
        </w:rPr>
        <w:t xml:space="preserve">al fine di gestire situazioni di crisi o in presenza di investimenti per lo sviluppo dell’impresa, </w:t>
      </w:r>
      <w:r>
        <w:rPr>
          <w:lang w:val="it-IT"/>
        </w:rPr>
        <w:t>ma, in questo caso, non dalle RSU/RSA da sole bensì d’intesa con le relative organizzazioni sindacali territoriali di categoria.</w:t>
      </w:r>
    </w:p>
    <w:p w:rsidR="007F40F1" w:rsidRDefault="007F40F1" w:rsidP="00F46C91">
      <w:pPr>
        <w:jc w:val="both"/>
        <w:rPr>
          <w:lang w:val="it-IT"/>
        </w:rPr>
      </w:pPr>
      <w:r>
        <w:rPr>
          <w:lang w:val="it-IT"/>
        </w:rPr>
        <w:lastRenderedPageBreak/>
        <w:t xml:space="preserve">Maggiori margini di deroga, tanto alla legge quanto al CCNL, sono previsti dall’art. 8, l. n. 148/2011. </w:t>
      </w:r>
    </w:p>
    <w:p w:rsidR="007F40F1" w:rsidRDefault="007F40F1" w:rsidP="007F40F1">
      <w:pPr>
        <w:jc w:val="center"/>
        <w:rPr>
          <w:lang w:val="it-IT"/>
        </w:rPr>
      </w:pPr>
      <w:r>
        <w:rPr>
          <w:lang w:val="it-IT"/>
        </w:rPr>
        <w:t>*</w:t>
      </w:r>
    </w:p>
    <w:p w:rsidR="007F40F1" w:rsidRDefault="007F40F1" w:rsidP="007F40F1">
      <w:pPr>
        <w:jc w:val="both"/>
        <w:rPr>
          <w:lang w:val="it-IT"/>
        </w:rPr>
      </w:pPr>
      <w:r>
        <w:rPr>
          <w:lang w:val="it-IT"/>
        </w:rPr>
        <w:t>L’inderogabilità del CCNL nei confronti del contratto individuale (rinvio).</w:t>
      </w:r>
    </w:p>
    <w:p w:rsidR="007F40F1" w:rsidRDefault="007F40F1" w:rsidP="007F40F1">
      <w:pPr>
        <w:jc w:val="center"/>
        <w:rPr>
          <w:lang w:val="it-IT"/>
        </w:rPr>
      </w:pPr>
      <w:r>
        <w:rPr>
          <w:lang w:val="it-IT"/>
        </w:rPr>
        <w:t>*</w:t>
      </w:r>
    </w:p>
    <w:p w:rsidR="007F40F1" w:rsidRDefault="007F40F1" w:rsidP="007F40F1">
      <w:pPr>
        <w:jc w:val="both"/>
        <w:rPr>
          <w:lang w:val="it-IT"/>
        </w:rPr>
      </w:pPr>
      <w:r>
        <w:rPr>
          <w:lang w:val="it-IT"/>
        </w:rPr>
        <w:t>La contrattazione collettiva nel lavoro pubblico (cenni).</w:t>
      </w:r>
    </w:p>
    <w:p w:rsidR="007F40F1" w:rsidRDefault="007F40F1" w:rsidP="007F40F1">
      <w:pPr>
        <w:jc w:val="center"/>
        <w:rPr>
          <w:lang w:val="it-IT"/>
        </w:rPr>
      </w:pPr>
      <w:r>
        <w:rPr>
          <w:lang w:val="it-IT"/>
        </w:rPr>
        <w:t>*</w:t>
      </w:r>
    </w:p>
    <w:p w:rsidR="007F40F1" w:rsidRPr="00F46C91" w:rsidRDefault="007F40F1" w:rsidP="007F40F1">
      <w:pPr>
        <w:jc w:val="both"/>
        <w:rPr>
          <w:lang w:val="it-IT"/>
        </w:rPr>
      </w:pPr>
      <w:r>
        <w:rPr>
          <w:lang w:val="it-IT"/>
        </w:rPr>
        <w:t>Considerazioni di riepilogo e sintesi.</w:t>
      </w:r>
    </w:p>
    <w:sectPr w:rsidR="007F40F1" w:rsidRPr="00F46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D93"/>
    <w:multiLevelType w:val="hybridMultilevel"/>
    <w:tmpl w:val="596E3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4DD9"/>
    <w:multiLevelType w:val="hybridMultilevel"/>
    <w:tmpl w:val="9500A8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4E78"/>
    <w:multiLevelType w:val="hybridMultilevel"/>
    <w:tmpl w:val="F21E14E0"/>
    <w:lvl w:ilvl="0" w:tplc="2B8C0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DE"/>
    <w:rsid w:val="0005588B"/>
    <w:rsid w:val="00202811"/>
    <w:rsid w:val="00253728"/>
    <w:rsid w:val="00485D66"/>
    <w:rsid w:val="005C74E0"/>
    <w:rsid w:val="00627E76"/>
    <w:rsid w:val="00633A09"/>
    <w:rsid w:val="00666C14"/>
    <w:rsid w:val="00705DB2"/>
    <w:rsid w:val="007F40F1"/>
    <w:rsid w:val="00851311"/>
    <w:rsid w:val="00CC77BB"/>
    <w:rsid w:val="00D012DE"/>
    <w:rsid w:val="00F46C91"/>
    <w:rsid w:val="00F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2018-10-29T12:35:00Z</dcterms:created>
  <dcterms:modified xsi:type="dcterms:W3CDTF">2018-10-29T13:23:00Z</dcterms:modified>
</cp:coreProperties>
</file>