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7A9" w:rsidRPr="0098769E" w:rsidRDefault="00B837A9" w:rsidP="00B837A9">
      <w:pPr>
        <w:jc w:val="center"/>
        <w:rPr>
          <w:b/>
          <w:bCs/>
          <w:sz w:val="32"/>
          <w:szCs w:val="32"/>
        </w:rPr>
      </w:pPr>
      <w:r w:rsidRPr="0098769E">
        <w:rPr>
          <w:b/>
          <w:bCs/>
          <w:sz w:val="32"/>
          <w:szCs w:val="32"/>
        </w:rPr>
        <w:t>Didattica a distanza</w:t>
      </w:r>
    </w:p>
    <w:p w:rsidR="00B837A9" w:rsidRDefault="00B837A9" w:rsidP="00B837A9"/>
    <w:p w:rsidR="00B837A9" w:rsidRDefault="00B837A9" w:rsidP="00B837A9"/>
    <w:p w:rsidR="00B837A9" w:rsidRPr="0098769E" w:rsidRDefault="00B837A9" w:rsidP="00B837A9">
      <w:pPr>
        <w:rPr>
          <w:b/>
          <w:bCs/>
        </w:rPr>
      </w:pPr>
      <w:r w:rsidRPr="0098769E">
        <w:rPr>
          <w:b/>
          <w:bCs/>
        </w:rPr>
        <w:t>Diritto dell’esecuzione penale</w:t>
      </w:r>
    </w:p>
    <w:p w:rsidR="00B837A9" w:rsidRPr="0098769E" w:rsidRDefault="00B837A9" w:rsidP="00B837A9">
      <w:pPr>
        <w:rPr>
          <w:b/>
          <w:bCs/>
        </w:rPr>
      </w:pPr>
      <w:r w:rsidRPr="0098769E">
        <w:rPr>
          <w:b/>
          <w:bCs/>
        </w:rPr>
        <w:t>Docente: Alessandra Sanna</w:t>
      </w:r>
    </w:p>
    <w:p w:rsidR="00B837A9" w:rsidRDefault="00B837A9" w:rsidP="00B837A9">
      <w:pPr>
        <w:rPr>
          <w:b/>
          <w:bCs/>
        </w:rPr>
      </w:pPr>
    </w:p>
    <w:p w:rsidR="00B837A9" w:rsidRDefault="00B837A9" w:rsidP="00B837A9">
      <w:pPr>
        <w:rPr>
          <w:b/>
          <w:bCs/>
        </w:rPr>
      </w:pPr>
      <w:r w:rsidRPr="0098769E">
        <w:rPr>
          <w:b/>
          <w:bCs/>
        </w:rPr>
        <w:t>Lezione</w:t>
      </w:r>
      <w:r>
        <w:rPr>
          <w:b/>
          <w:bCs/>
        </w:rPr>
        <w:t xml:space="preserve"> </w:t>
      </w:r>
      <w:r>
        <w:rPr>
          <w:b/>
          <w:bCs/>
        </w:rPr>
        <w:t>8</w:t>
      </w:r>
      <w:r>
        <w:rPr>
          <w:b/>
          <w:bCs/>
        </w:rPr>
        <w:t xml:space="preserve">, </w:t>
      </w:r>
      <w:r>
        <w:rPr>
          <w:b/>
          <w:bCs/>
        </w:rPr>
        <w:t>31</w:t>
      </w:r>
      <w:r>
        <w:rPr>
          <w:b/>
          <w:bCs/>
        </w:rPr>
        <w:t xml:space="preserve"> marzo 2020.</w:t>
      </w:r>
    </w:p>
    <w:p w:rsidR="00B837A9" w:rsidRDefault="00B837A9" w:rsidP="00B837A9">
      <w:pPr>
        <w:rPr>
          <w:b/>
          <w:bCs/>
        </w:rPr>
      </w:pPr>
    </w:p>
    <w:p w:rsidR="00B837A9" w:rsidRDefault="00B837A9" w:rsidP="00B837A9">
      <w:pPr>
        <w:rPr>
          <w:b/>
          <w:bCs/>
        </w:rPr>
      </w:pPr>
      <w:r w:rsidRPr="006231C9">
        <w:rPr>
          <w:b/>
          <w:bCs/>
          <w:u w:val="single"/>
        </w:rPr>
        <w:t>Parte I (prima ora</w:t>
      </w:r>
      <w:r>
        <w:rPr>
          <w:b/>
          <w:bCs/>
        </w:rPr>
        <w:t>)</w:t>
      </w:r>
    </w:p>
    <w:p w:rsidR="00B837A9" w:rsidRDefault="00B837A9" w:rsidP="00B837A9">
      <w:pPr>
        <w:rPr>
          <w:b/>
          <w:bCs/>
        </w:rPr>
      </w:pPr>
    </w:p>
    <w:p w:rsidR="00B837A9" w:rsidRDefault="00B837A9" w:rsidP="00B837A9">
      <w:pPr>
        <w:rPr>
          <w:b/>
          <w:bCs/>
          <w:color w:val="FF0000"/>
        </w:rPr>
      </w:pPr>
      <w:r w:rsidRPr="00FE13AF">
        <w:rPr>
          <w:b/>
          <w:bCs/>
          <w:color w:val="FF0000"/>
        </w:rPr>
        <w:t xml:space="preserve">L'efficacia </w:t>
      </w:r>
      <w:proofErr w:type="spellStart"/>
      <w:r w:rsidRPr="00FE13AF">
        <w:rPr>
          <w:b/>
          <w:bCs/>
          <w:color w:val="FF0000"/>
        </w:rPr>
        <w:t>extrapenale</w:t>
      </w:r>
      <w:proofErr w:type="spellEnd"/>
      <w:r w:rsidRPr="00FE13AF">
        <w:rPr>
          <w:b/>
          <w:bCs/>
          <w:color w:val="FF0000"/>
        </w:rPr>
        <w:t xml:space="preserve"> del giudicato</w:t>
      </w:r>
      <w:r>
        <w:rPr>
          <w:b/>
          <w:bCs/>
          <w:color w:val="FF0000"/>
        </w:rPr>
        <w:t xml:space="preserve"> </w:t>
      </w:r>
    </w:p>
    <w:p w:rsidR="00B837A9" w:rsidRPr="00623BA6" w:rsidRDefault="00B837A9" w:rsidP="00B837A9">
      <w:pPr>
        <w:jc w:val="both"/>
        <w:rPr>
          <w:b/>
          <w:bCs/>
        </w:rPr>
      </w:pPr>
      <w:r w:rsidRPr="00623BA6">
        <w:rPr>
          <w:b/>
          <w:bCs/>
          <w:color w:val="FF0000"/>
        </w:rPr>
        <w:t>Il vincolo impositivo nel giudizio civile o amministrativo di danno</w:t>
      </w:r>
      <w:r>
        <w:rPr>
          <w:b/>
          <w:bCs/>
          <w:color w:val="FF0000"/>
        </w:rPr>
        <w:t xml:space="preserve"> </w:t>
      </w:r>
      <w:r w:rsidRPr="00B837A9">
        <w:rPr>
          <w:b/>
          <w:bCs/>
          <w:color w:val="000000" w:themeColor="text1"/>
        </w:rPr>
        <w:t>(segue)</w:t>
      </w:r>
    </w:p>
    <w:p w:rsidR="00B837A9" w:rsidRDefault="00B837A9" w:rsidP="00B837A9">
      <w:pPr>
        <w:jc w:val="both"/>
        <w:rPr>
          <w:b/>
          <w:bCs/>
          <w:color w:val="FF0000"/>
        </w:rPr>
      </w:pPr>
    </w:p>
    <w:p w:rsidR="00B837A9" w:rsidRDefault="00B837A9" w:rsidP="00B837A9">
      <w:pPr>
        <w:jc w:val="both"/>
        <w:rPr>
          <w:b/>
          <w:bCs/>
        </w:rPr>
      </w:pPr>
      <w:r w:rsidRPr="00BD1383">
        <w:rPr>
          <w:b/>
          <w:bCs/>
          <w:color w:val="FF0000"/>
        </w:rPr>
        <w:t xml:space="preserve">Il giudicato di assoluzione </w:t>
      </w:r>
      <w:r>
        <w:rPr>
          <w:b/>
          <w:bCs/>
        </w:rPr>
        <w:t>(art. 652 c.p.p.)</w:t>
      </w:r>
      <w:r w:rsidRPr="00BD1383">
        <w:rPr>
          <w:b/>
          <w:bCs/>
        </w:rPr>
        <w:t xml:space="preserve"> </w:t>
      </w:r>
    </w:p>
    <w:p w:rsidR="006D0687" w:rsidRDefault="006D0687" w:rsidP="006D0687">
      <w:pPr>
        <w:jc w:val="both"/>
        <w:rPr>
          <w:b/>
          <w:bCs/>
        </w:rPr>
      </w:pPr>
      <w:r>
        <w:rPr>
          <w:b/>
          <w:bCs/>
        </w:rPr>
        <w:t>Limiti oggettivi del vincolo</w:t>
      </w:r>
    </w:p>
    <w:p w:rsidR="006D0687" w:rsidRDefault="006D0687" w:rsidP="006D0687">
      <w:pPr>
        <w:jc w:val="both"/>
        <w:rPr>
          <w:b/>
          <w:bCs/>
        </w:rPr>
      </w:pPr>
      <w:r>
        <w:rPr>
          <w:b/>
          <w:bCs/>
        </w:rPr>
        <w:t>Limiti soggettivi del vincolo</w:t>
      </w:r>
    </w:p>
    <w:p w:rsidR="006D0687" w:rsidRDefault="006D0687" w:rsidP="00B837A9">
      <w:pPr>
        <w:jc w:val="both"/>
        <w:rPr>
          <w:b/>
          <w:bCs/>
        </w:rPr>
      </w:pPr>
    </w:p>
    <w:p w:rsidR="00D77F5D" w:rsidRDefault="00D77F5D" w:rsidP="00B837A9">
      <w:pPr>
        <w:jc w:val="both"/>
        <w:rPr>
          <w:b/>
          <w:bCs/>
          <w:color w:val="FF0000"/>
        </w:rPr>
      </w:pPr>
      <w:r w:rsidRPr="002B0708">
        <w:rPr>
          <w:b/>
          <w:bCs/>
          <w:color w:val="FF0000"/>
        </w:rPr>
        <w:t xml:space="preserve">Il peculiare vincolo della sentenza di proscioglimento </w:t>
      </w:r>
      <w:r w:rsidR="006D0687" w:rsidRPr="002B0708">
        <w:rPr>
          <w:b/>
          <w:bCs/>
          <w:color w:val="FF0000"/>
        </w:rPr>
        <w:t>per tenuità del fatto</w:t>
      </w:r>
    </w:p>
    <w:p w:rsidR="002B0708" w:rsidRDefault="002B0708" w:rsidP="00B837A9">
      <w:pPr>
        <w:jc w:val="both"/>
        <w:rPr>
          <w:b/>
          <w:bCs/>
          <w:color w:val="FF0000"/>
        </w:rPr>
      </w:pPr>
    </w:p>
    <w:p w:rsidR="002B0708" w:rsidRDefault="002B0708" w:rsidP="00B837A9">
      <w:pPr>
        <w:jc w:val="both"/>
        <w:rPr>
          <w:b/>
          <w:bCs/>
          <w:color w:val="000000" w:themeColor="text1"/>
        </w:rPr>
      </w:pPr>
      <w:r w:rsidRPr="002B0708">
        <w:rPr>
          <w:b/>
          <w:bCs/>
          <w:color w:val="000000" w:themeColor="text1"/>
        </w:rPr>
        <w:t>Parte I</w:t>
      </w:r>
      <w:r>
        <w:rPr>
          <w:b/>
          <w:bCs/>
          <w:color w:val="000000" w:themeColor="text1"/>
        </w:rPr>
        <w:t>I</w:t>
      </w:r>
      <w:r w:rsidRPr="002B0708">
        <w:rPr>
          <w:b/>
          <w:bCs/>
          <w:color w:val="000000" w:themeColor="text1"/>
        </w:rPr>
        <w:t xml:space="preserve"> (seconda ora)</w:t>
      </w:r>
    </w:p>
    <w:p w:rsidR="002B0708" w:rsidRDefault="002B0708" w:rsidP="00B837A9">
      <w:pPr>
        <w:jc w:val="both"/>
        <w:rPr>
          <w:b/>
          <w:bCs/>
          <w:color w:val="FF0000"/>
        </w:rPr>
      </w:pPr>
    </w:p>
    <w:p w:rsidR="002B0708" w:rsidRPr="002B0708" w:rsidRDefault="002B0708" w:rsidP="00B837A9">
      <w:pPr>
        <w:jc w:val="both"/>
        <w:rPr>
          <w:b/>
          <w:bCs/>
          <w:color w:val="FF0000"/>
        </w:rPr>
      </w:pPr>
      <w:r w:rsidRPr="002B0708">
        <w:rPr>
          <w:b/>
          <w:bCs/>
          <w:color w:val="FF0000"/>
        </w:rPr>
        <w:t xml:space="preserve">L’attivazione della fase esecutiva </w:t>
      </w:r>
    </w:p>
    <w:p w:rsidR="002B0708" w:rsidRDefault="002B0708" w:rsidP="00B837A9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L’azione esecutiva del p.m. </w:t>
      </w:r>
    </w:p>
    <w:p w:rsidR="002B0708" w:rsidRDefault="002B0708" w:rsidP="00B837A9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Individuazione e funzioni del p.m. nella fase esecutiva (artt. 73 e 78 </w:t>
      </w:r>
      <w:proofErr w:type="spellStart"/>
      <w:r>
        <w:rPr>
          <w:b/>
          <w:bCs/>
          <w:color w:val="000000" w:themeColor="text1"/>
        </w:rPr>
        <w:t>o.g</w:t>
      </w:r>
      <w:proofErr w:type="spellEnd"/>
      <w:r>
        <w:rPr>
          <w:b/>
          <w:bCs/>
          <w:color w:val="000000" w:themeColor="text1"/>
        </w:rPr>
        <w:t>.; 655 c.p.p.)</w:t>
      </w:r>
    </w:p>
    <w:p w:rsidR="003F56AE" w:rsidRDefault="003F56AE" w:rsidP="00B837A9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Natura amministrativa dei provvedimenti emessi dal p.m. </w:t>
      </w:r>
    </w:p>
    <w:p w:rsidR="002B0708" w:rsidRDefault="003F56AE" w:rsidP="00B837A9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Funzioni para-giurisdizionali del p.m. e dubbi di legittimità costituzionale</w:t>
      </w:r>
      <w:r w:rsidR="002B0708">
        <w:rPr>
          <w:b/>
          <w:bCs/>
          <w:color w:val="000000" w:themeColor="text1"/>
        </w:rPr>
        <w:t xml:space="preserve"> </w:t>
      </w:r>
    </w:p>
    <w:p w:rsidR="003F56AE" w:rsidRDefault="003F56AE" w:rsidP="00B837A9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L’eventuale controllo del giudice dell’esecuzione </w:t>
      </w:r>
      <w:r w:rsidRPr="003F56AE">
        <w:rPr>
          <w:b/>
          <w:bCs/>
          <w:i/>
          <w:iCs/>
          <w:color w:val="000000" w:themeColor="text1"/>
        </w:rPr>
        <w:t>ex</w:t>
      </w:r>
      <w:r>
        <w:rPr>
          <w:b/>
          <w:bCs/>
          <w:color w:val="000000" w:themeColor="text1"/>
        </w:rPr>
        <w:t xml:space="preserve"> art. 666 c.p.p.</w:t>
      </w:r>
    </w:p>
    <w:p w:rsidR="003F56AE" w:rsidRDefault="003F56AE" w:rsidP="00B837A9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La lesione del diritto di difesa e di parità delle armi</w:t>
      </w:r>
    </w:p>
    <w:p w:rsidR="003F56AE" w:rsidRPr="002B0708" w:rsidRDefault="003F56AE" w:rsidP="00B837A9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Soluzioni </w:t>
      </w:r>
      <w:r w:rsidRPr="003F56AE">
        <w:rPr>
          <w:b/>
          <w:bCs/>
          <w:i/>
          <w:iCs/>
          <w:color w:val="000000" w:themeColor="text1"/>
        </w:rPr>
        <w:t>de iure condendo</w:t>
      </w:r>
    </w:p>
    <w:p w:rsidR="00B837A9" w:rsidRDefault="00B837A9" w:rsidP="00B837A9">
      <w:pPr>
        <w:rPr>
          <w:b/>
          <w:bCs/>
        </w:rPr>
      </w:pPr>
    </w:p>
    <w:p w:rsidR="00B06A63" w:rsidRDefault="00B06A63"/>
    <w:sectPr w:rsidR="00B06A63" w:rsidSect="002846B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7A9"/>
    <w:rsid w:val="002846B3"/>
    <w:rsid w:val="002B0708"/>
    <w:rsid w:val="003F56AE"/>
    <w:rsid w:val="006D0687"/>
    <w:rsid w:val="00B06A63"/>
    <w:rsid w:val="00B837A9"/>
    <w:rsid w:val="00D7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28754D"/>
  <w15:chartTrackingRefBased/>
  <w15:docId w15:val="{530E86BC-476B-3141-B9D5-DFD8EAB1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37A9"/>
    <w:pPr>
      <w:spacing w:after="12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sanna</dc:creator>
  <cp:keywords/>
  <dc:description/>
  <cp:lastModifiedBy>alessandra sanna</cp:lastModifiedBy>
  <cp:revision>1</cp:revision>
  <dcterms:created xsi:type="dcterms:W3CDTF">2020-03-31T10:12:00Z</dcterms:created>
  <dcterms:modified xsi:type="dcterms:W3CDTF">2020-03-31T14:34:00Z</dcterms:modified>
</cp:coreProperties>
</file>